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AC4641" w:rsidRDefault="00441E32" w:rsidP="00355DAB">
                <w:pPr>
                  <w:bidi w:val="0"/>
                  <w:jc w:val="right"/>
                  <w:rPr>
                    <w:rFonts w:ascii="Arial" w:hAnsi="Arial"/>
                    <w:b/>
                    <w:bCs/>
                    <w:noProof w:val="0"/>
                    <w:sz w:val="26"/>
                    <w:szCs w:val="26"/>
                    <w:rtl/>
                  </w:rPr>
                </w:pPr>
                <w:r w:rsidRPr="00355DAB">
                  <w:rPr>
                    <w:rFonts w:ascii="Arial" w:hAnsi="Arial"/>
                    <w:b/>
                    <w:bCs/>
                    <w:noProof w:val="0"/>
                    <w:sz w:val="26"/>
                    <w:szCs w:val="26"/>
                    <w:rtl/>
                  </w:rPr>
                  <w:t>מערער</w:t>
                </w:r>
                <w:r w:rsidR="00355DAB" w:rsidRPr="00355DAB">
                  <w:rPr>
                    <w:rFonts w:hint="cs"/>
                    <w:b/>
                    <w:bCs/>
                    <w:sz w:val="26"/>
                    <w:szCs w:val="26"/>
                    <w:rtl/>
                  </w:rPr>
                  <w:t>ת</w:t>
                </w:r>
              </w:p>
            </w:sdtContent>
          </w:sdt>
        </w:tc>
        <w:tc>
          <w:tcPr>
            <w:tcW w:w="5571" w:type="dxa"/>
          </w:tcPr>
          <w:p w:rsidR="00694556" w:rsidRPr="00780CA3" w:rsidRDefault="00694556">
            <w:pPr>
              <w:rPr>
                <w:rFonts w:ascii="Arial" w:hAnsi="Arial"/>
                <w:b/>
                <w:bCs/>
                <w:noProof w:val="0"/>
                <w:sz w:val="26"/>
                <w:szCs w:val="26"/>
              </w:rPr>
            </w:pPr>
          </w:p>
          <w:p w:rsidR="00780CA3" w:rsidRDefault="00841208" w:rsidP="00355DAB">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טרקליני אח"מ , מבית מלונות דן ו-קיו.איי.אס</w:t>
                </w:r>
              </w:sdtContent>
            </w:sdt>
          </w:p>
          <w:p w:rsidR="00694556" w:rsidRPr="00780CA3" w:rsidRDefault="00780CA3">
            <w:pPr>
              <w:rPr>
                <w:b/>
                <w:bCs/>
                <w:noProof w:val="0"/>
                <w:sz w:val="26"/>
                <w:szCs w:val="26"/>
              </w:rPr>
            </w:pPr>
            <w:r>
              <w:rPr>
                <w:rFonts w:hint="cs"/>
                <w:sz w:val="26"/>
                <w:szCs w:val="26"/>
                <w:rtl/>
              </w:rPr>
              <w:t>ע"י ב"כ עו</w:t>
            </w:r>
            <w:r w:rsidR="00355DAB">
              <w:rPr>
                <w:rFonts w:hint="cs"/>
                <w:sz w:val="26"/>
                <w:szCs w:val="26"/>
                <w:rtl/>
              </w:rPr>
              <w:t>ה</w:t>
            </w:r>
            <w:r>
              <w:rPr>
                <w:rFonts w:hint="cs"/>
                <w:sz w:val="26"/>
                <w:szCs w:val="26"/>
                <w:rtl/>
              </w:rPr>
              <w:t>"ד</w:t>
            </w:r>
            <w:r w:rsidR="00355DAB">
              <w:rPr>
                <w:rFonts w:hint="cs"/>
                <w:sz w:val="26"/>
                <w:szCs w:val="26"/>
                <w:rtl/>
              </w:rPr>
              <w:t xml:space="preserve"> מרב ברוך, ליאת נויבירט, דקל צינו</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355DAB" w:rsidRDefault="00694556">
            <w:pPr>
              <w:rPr>
                <w:rFonts w:ascii="Arial" w:hAnsi="Arial"/>
                <w:b/>
                <w:bCs/>
                <w:noProof w:val="0"/>
                <w:sz w:val="26"/>
                <w:szCs w:val="26"/>
                <w:rtl/>
              </w:rPr>
            </w:pPr>
          </w:p>
          <w:p w:rsidR="00694556" w:rsidRPr="00355DAB" w:rsidRDefault="00841208" w:rsidP="00355DAB">
            <w:pPr>
              <w:rPr>
                <w:rFonts w:ascii="Arial" w:hAnsi="Arial"/>
                <w:b/>
                <w:bCs/>
                <w:noProof w:val="0"/>
                <w:sz w:val="26"/>
                <w:szCs w:val="26"/>
              </w:rPr>
            </w:pPr>
            <w:sdt>
              <w:sdtPr>
                <w:rPr>
                  <w:b/>
                  <w:bCs/>
                  <w:sz w:val="26"/>
                  <w:szCs w:val="26"/>
                  <w:rtl/>
                </w:rPr>
                <w:alias w:val="1184"/>
                <w:tag w:val="1184"/>
                <w:id w:val="-1552230303"/>
                <w:text w:multiLine="1"/>
              </w:sdtPr>
              <w:sdtEndPr/>
              <w:sdtContent>
                <w:r w:rsidR="00D3013B" w:rsidRPr="00355DAB">
                  <w:rPr>
                    <w:rFonts w:ascii="Arial" w:hAnsi="Arial"/>
                    <w:b/>
                    <w:bCs/>
                    <w:noProof w:val="0"/>
                    <w:sz w:val="26"/>
                    <w:szCs w:val="26"/>
                    <w:rtl/>
                  </w:rPr>
                  <w:t>משיב</w:t>
                </w:r>
              </w:sdtContent>
            </w:sdt>
          </w:p>
        </w:tc>
        <w:tc>
          <w:tcPr>
            <w:tcW w:w="5571" w:type="dxa"/>
          </w:tcPr>
          <w:p w:rsidR="00694556" w:rsidRPr="00355DAB" w:rsidRDefault="00694556">
            <w:pPr>
              <w:rPr>
                <w:rFonts w:ascii="Arial" w:hAnsi="Arial"/>
                <w:b/>
                <w:bCs/>
                <w:noProof w:val="0"/>
                <w:sz w:val="26"/>
                <w:szCs w:val="26"/>
                <w:rtl/>
              </w:rPr>
            </w:pPr>
          </w:p>
          <w:p w:rsidR="00355DAB" w:rsidRPr="00355DAB" w:rsidRDefault="00355DAB" w:rsidP="002E365C">
            <w:pPr>
              <w:rPr>
                <w:b/>
                <w:bCs/>
                <w:sz w:val="26"/>
                <w:szCs w:val="26"/>
                <w:rtl/>
              </w:rPr>
            </w:pPr>
            <w:r w:rsidRPr="00355DAB">
              <w:rPr>
                <w:rFonts w:hint="cs"/>
                <w:b/>
                <w:bCs/>
                <w:sz w:val="26"/>
                <w:szCs w:val="26"/>
                <w:rtl/>
              </w:rPr>
              <w:t>מנהל מע"מ ת</w:t>
            </w:r>
            <w:r w:rsidR="002E365C">
              <w:rPr>
                <w:rFonts w:hint="cs"/>
                <w:b/>
                <w:bCs/>
                <w:sz w:val="26"/>
                <w:szCs w:val="26"/>
                <w:rtl/>
              </w:rPr>
              <w:t>"א</w:t>
            </w:r>
            <w:r w:rsidRPr="00355DAB">
              <w:rPr>
                <w:rFonts w:hint="cs"/>
                <w:b/>
                <w:bCs/>
                <w:sz w:val="26"/>
                <w:szCs w:val="26"/>
                <w:rtl/>
              </w:rPr>
              <w:t xml:space="preserve"> </w:t>
            </w:r>
          </w:p>
          <w:p w:rsidR="00694556" w:rsidRDefault="00780CA3" w:rsidP="00355DAB">
            <w:pPr>
              <w:rPr>
                <w:noProof w:val="0"/>
                <w:sz w:val="26"/>
                <w:szCs w:val="26"/>
                <w:rtl/>
              </w:rPr>
            </w:pPr>
            <w:r w:rsidRPr="00355DAB">
              <w:rPr>
                <w:rFonts w:hint="cs"/>
                <w:sz w:val="26"/>
                <w:szCs w:val="26"/>
                <w:rtl/>
              </w:rPr>
              <w:t>ע"י ב"כ עו"ד</w:t>
            </w:r>
            <w:r w:rsidR="00355DAB">
              <w:rPr>
                <w:rFonts w:hint="cs"/>
                <w:noProof w:val="0"/>
                <w:sz w:val="26"/>
                <w:szCs w:val="26"/>
                <w:rtl/>
              </w:rPr>
              <w:t xml:space="preserve"> שירה קידרון-גוטליב</w:t>
            </w:r>
          </w:p>
          <w:p w:rsidR="00355DAB" w:rsidRPr="00355DAB" w:rsidRDefault="00355DAB" w:rsidP="00355DAB">
            <w:pPr>
              <w:rPr>
                <w:noProof w:val="0"/>
                <w:sz w:val="26"/>
                <w:szCs w:val="26"/>
                <w:rtl/>
              </w:rPr>
            </w:pPr>
            <w:r>
              <w:rPr>
                <w:rFonts w:hint="cs"/>
                <w:noProof w:val="0"/>
                <w:sz w:val="26"/>
                <w:szCs w:val="26"/>
                <w:rtl/>
              </w:rPr>
              <w:t>פמת"א (אזרחי)</w:t>
            </w:r>
          </w:p>
        </w:tc>
      </w:tr>
    </w:tbl>
    <w:p w:rsidR="00694556" w:rsidRDefault="00694556"/>
    <w:p w:rsidR="00694556" w:rsidRDefault="00694556"/>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355DAB" w:rsidRDefault="00005C8B">
            <w:pPr>
              <w:bidi w:val="0"/>
              <w:jc w:val="center"/>
              <w:rPr>
                <w:rFonts w:ascii="Arial" w:hAnsi="Arial"/>
                <w:b/>
                <w:bCs/>
                <w:noProof w:val="0"/>
                <w:sz w:val="32"/>
                <w:szCs w:val="32"/>
                <w:u w:val="single"/>
              </w:rPr>
            </w:pPr>
            <w:r w:rsidRPr="00355DAB">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112166" w:rsidRPr="003D024E" w:rsidRDefault="00112166" w:rsidP="00112166">
      <w:pPr>
        <w:spacing w:after="240" w:line="360" w:lineRule="auto"/>
        <w:jc w:val="both"/>
        <w:rPr>
          <w:rFonts w:ascii="David" w:hAnsi="David"/>
          <w:noProof w:val="0"/>
          <w:sz w:val="26"/>
          <w:szCs w:val="26"/>
          <w:rtl/>
        </w:rPr>
      </w:pPr>
      <w:r w:rsidRPr="003D024E">
        <w:rPr>
          <w:rFonts w:ascii="David" w:hAnsi="David"/>
          <w:noProof w:val="0"/>
          <w:sz w:val="26"/>
          <w:szCs w:val="26"/>
          <w:rtl/>
        </w:rPr>
        <w:t>ל</w:t>
      </w:r>
      <w:r>
        <w:rPr>
          <w:rFonts w:ascii="David" w:hAnsi="David"/>
          <w:noProof w:val="0"/>
          <w:sz w:val="26"/>
          <w:szCs w:val="26"/>
          <w:rtl/>
        </w:rPr>
        <w:t>פני</w:t>
      </w:r>
      <w:r>
        <w:rPr>
          <w:rFonts w:ascii="David" w:hAnsi="David" w:hint="cs"/>
          <w:noProof w:val="0"/>
          <w:sz w:val="26"/>
          <w:szCs w:val="26"/>
          <w:rtl/>
        </w:rPr>
        <w:t>י</w:t>
      </w:r>
      <w:r w:rsidRPr="003D024E">
        <w:rPr>
          <w:rFonts w:ascii="David" w:hAnsi="David"/>
          <w:noProof w:val="0"/>
          <w:sz w:val="26"/>
          <w:szCs w:val="26"/>
          <w:rtl/>
        </w:rPr>
        <w:t xml:space="preserve"> </w:t>
      </w:r>
      <w:r>
        <w:rPr>
          <w:rFonts w:ascii="David" w:hAnsi="David" w:hint="cs"/>
          <w:noProof w:val="0"/>
          <w:sz w:val="26"/>
          <w:szCs w:val="26"/>
          <w:rtl/>
        </w:rPr>
        <w:t xml:space="preserve">ערעור מס ערך מוסף שעניינו העיקרי הוא בשאלה האם </w:t>
      </w:r>
      <w:r w:rsidRPr="00001673">
        <w:rPr>
          <w:rFonts w:ascii="David" w:hAnsi="David"/>
          <w:noProof w:val="0"/>
          <w:sz w:val="26"/>
          <w:szCs w:val="26"/>
          <w:rtl/>
        </w:rPr>
        <w:t xml:space="preserve">הפעלת טרקליני האירוח </w:t>
      </w:r>
      <w:r>
        <w:rPr>
          <w:rFonts w:ascii="David" w:hAnsi="David" w:hint="cs"/>
          <w:noProof w:val="0"/>
          <w:sz w:val="26"/>
          <w:szCs w:val="26"/>
          <w:rtl/>
        </w:rPr>
        <w:t xml:space="preserve">בנתב"ג היא </w:t>
      </w:r>
      <w:r>
        <w:rPr>
          <w:rFonts w:ascii="David" w:hAnsi="David"/>
          <w:noProof w:val="0"/>
          <w:sz w:val="26"/>
          <w:szCs w:val="26"/>
          <w:rtl/>
        </w:rPr>
        <w:t>עסק</w:t>
      </w:r>
      <w:r>
        <w:rPr>
          <w:rFonts w:ascii="David" w:hAnsi="David" w:hint="cs"/>
          <w:noProof w:val="0"/>
          <w:sz w:val="26"/>
          <w:szCs w:val="26"/>
          <w:rtl/>
        </w:rPr>
        <w:t>ה</w:t>
      </w:r>
      <w:r>
        <w:rPr>
          <w:rFonts w:ascii="David" w:hAnsi="David"/>
          <w:noProof w:val="0"/>
          <w:sz w:val="26"/>
          <w:szCs w:val="26"/>
          <w:rtl/>
        </w:rPr>
        <w:t xml:space="preserve"> שהמס עליה</w:t>
      </w:r>
      <w:r w:rsidRPr="00001673">
        <w:rPr>
          <w:rFonts w:ascii="David" w:hAnsi="David"/>
          <w:noProof w:val="0"/>
          <w:sz w:val="26"/>
          <w:szCs w:val="26"/>
          <w:rtl/>
        </w:rPr>
        <w:t xml:space="preserve"> </w:t>
      </w:r>
      <w:r>
        <w:rPr>
          <w:rFonts w:ascii="David" w:hAnsi="David" w:hint="cs"/>
          <w:noProof w:val="0"/>
          <w:sz w:val="26"/>
          <w:szCs w:val="26"/>
          <w:rtl/>
        </w:rPr>
        <w:t>הוא</w:t>
      </w:r>
      <w:r w:rsidRPr="00001673">
        <w:rPr>
          <w:rFonts w:ascii="David" w:hAnsi="David"/>
          <w:noProof w:val="0"/>
          <w:sz w:val="26"/>
          <w:szCs w:val="26"/>
          <w:rtl/>
        </w:rPr>
        <w:t xml:space="preserve"> בשיעור אפס</w:t>
      </w:r>
      <w:r>
        <w:rPr>
          <w:rFonts w:ascii="David" w:hAnsi="David" w:hint="cs"/>
          <w:noProof w:val="0"/>
          <w:sz w:val="26"/>
          <w:szCs w:val="26"/>
          <w:rtl/>
        </w:rPr>
        <w:t xml:space="preserve"> לפי סעיף 30(א) לחוק מס ערך מוסף, התשל"ו-1975 (להלן: "</w:t>
      </w:r>
      <w:r w:rsidRPr="00001673">
        <w:rPr>
          <w:rFonts w:ascii="David" w:hAnsi="David" w:hint="cs"/>
          <w:b/>
          <w:bCs/>
          <w:noProof w:val="0"/>
          <w:sz w:val="26"/>
          <w:szCs w:val="26"/>
          <w:rtl/>
        </w:rPr>
        <w:t>החוק</w:t>
      </w:r>
      <w:r>
        <w:rPr>
          <w:rFonts w:ascii="David" w:hAnsi="David" w:hint="cs"/>
          <w:noProof w:val="0"/>
          <w:sz w:val="26"/>
          <w:szCs w:val="26"/>
          <w:rtl/>
        </w:rPr>
        <w:t>")</w:t>
      </w:r>
      <w:r w:rsidRPr="003D024E">
        <w:rPr>
          <w:rFonts w:ascii="David" w:hAnsi="David"/>
          <w:noProof w:val="0"/>
          <w:sz w:val="26"/>
          <w:szCs w:val="26"/>
          <w:rtl/>
        </w:rPr>
        <w:t>.</w:t>
      </w:r>
      <w:r>
        <w:rPr>
          <w:rFonts w:ascii="David" w:hAnsi="David" w:hint="cs"/>
          <w:noProof w:val="0"/>
          <w:sz w:val="26"/>
          <w:szCs w:val="26"/>
          <w:rtl/>
        </w:rPr>
        <w:t xml:space="preserve"> עניין נוסף שנתון במחלוקת בין הצדדים הוא ניכויו של מס תשומות על ידי המערערת בגין שכירת רכבים פרטיים ששימשו בעסקיה.</w:t>
      </w:r>
    </w:p>
    <w:p w:rsidR="00112166" w:rsidRPr="003D024E" w:rsidRDefault="00112166" w:rsidP="00112166">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רקע בתמצית</w:t>
      </w:r>
      <w:r>
        <w:rPr>
          <w:rFonts w:ascii="David" w:hAnsi="David"/>
          <w:b/>
          <w:bCs/>
          <w:noProof w:val="0"/>
          <w:sz w:val="28"/>
          <w:szCs w:val="28"/>
          <w:u w:val="single"/>
          <w:rtl/>
        </w:rPr>
        <w:t xml:space="preserve"> ועיקרי הע</w:t>
      </w:r>
      <w:r>
        <w:rPr>
          <w:rFonts w:ascii="David" w:hAnsi="David" w:hint="cs"/>
          <w:b/>
          <w:bCs/>
          <w:noProof w:val="0"/>
          <w:sz w:val="28"/>
          <w:szCs w:val="28"/>
          <w:u w:val="single"/>
          <w:rtl/>
        </w:rPr>
        <w:t>רעור</w:t>
      </w:r>
    </w:p>
    <w:p w:rsidR="00112166" w:rsidRDefault="00112166" w:rsidP="00112166">
      <w:pPr>
        <w:numPr>
          <w:ilvl w:val="0"/>
          <w:numId w:val="1"/>
        </w:numPr>
        <w:spacing w:after="240" w:line="360" w:lineRule="auto"/>
        <w:jc w:val="both"/>
        <w:rPr>
          <w:rFonts w:ascii="David" w:hAnsi="David"/>
          <w:noProof w:val="0"/>
          <w:sz w:val="26"/>
          <w:szCs w:val="26"/>
        </w:rPr>
      </w:pPr>
      <w:r w:rsidRPr="002D45C4">
        <w:rPr>
          <w:rFonts w:ascii="David" w:hAnsi="David"/>
          <w:noProof w:val="0"/>
          <w:sz w:val="26"/>
          <w:szCs w:val="26"/>
          <w:rtl/>
        </w:rPr>
        <w:t>המערערת היא שותפות מוגבלת העוסקת בניהול ו</w:t>
      </w:r>
      <w:r w:rsidRPr="002D45C4">
        <w:rPr>
          <w:rFonts w:ascii="David" w:hAnsi="David" w:hint="cs"/>
          <w:noProof w:val="0"/>
          <w:sz w:val="26"/>
          <w:szCs w:val="26"/>
          <w:rtl/>
        </w:rPr>
        <w:t>ב</w:t>
      </w:r>
      <w:r w:rsidRPr="002D45C4">
        <w:rPr>
          <w:rFonts w:ascii="David" w:hAnsi="David"/>
          <w:noProof w:val="0"/>
          <w:sz w:val="26"/>
          <w:szCs w:val="26"/>
          <w:rtl/>
        </w:rPr>
        <w:t>הפעלה של טרקליני אירוח</w:t>
      </w:r>
      <w:r w:rsidRPr="002D45C4">
        <w:rPr>
          <w:rFonts w:ascii="David" w:hAnsi="David" w:hint="cs"/>
          <w:noProof w:val="0"/>
          <w:sz w:val="26"/>
          <w:szCs w:val="26"/>
          <w:rtl/>
        </w:rPr>
        <w:t xml:space="preserve"> </w:t>
      </w:r>
      <w:r>
        <w:rPr>
          <w:rFonts w:ascii="David" w:hAnsi="David" w:hint="cs"/>
          <w:noProof w:val="0"/>
          <w:sz w:val="26"/>
          <w:szCs w:val="26"/>
          <w:rtl/>
        </w:rPr>
        <w:t xml:space="preserve">לנוסעים </w:t>
      </w:r>
      <w:r w:rsidRPr="002D45C4">
        <w:rPr>
          <w:rFonts w:ascii="David" w:hAnsi="David"/>
          <w:noProof w:val="0"/>
          <w:sz w:val="26"/>
          <w:szCs w:val="26"/>
          <w:rtl/>
        </w:rPr>
        <w:t>ב</w:t>
      </w:r>
      <w:r w:rsidRPr="002D45C4">
        <w:rPr>
          <w:rFonts w:ascii="David" w:hAnsi="David" w:hint="cs"/>
          <w:noProof w:val="0"/>
          <w:sz w:val="26"/>
          <w:szCs w:val="26"/>
          <w:rtl/>
        </w:rPr>
        <w:t>נמל</w:t>
      </w:r>
      <w:r w:rsidRPr="002D45C4">
        <w:rPr>
          <w:rFonts w:ascii="David" w:hAnsi="David"/>
          <w:noProof w:val="0"/>
          <w:sz w:val="26"/>
          <w:szCs w:val="26"/>
          <w:rtl/>
        </w:rPr>
        <w:t xml:space="preserve"> התעופה</w:t>
      </w:r>
      <w:r w:rsidRPr="002D45C4">
        <w:rPr>
          <w:rFonts w:ascii="David" w:hAnsi="David" w:hint="cs"/>
          <w:noProof w:val="0"/>
          <w:sz w:val="26"/>
          <w:szCs w:val="26"/>
          <w:rtl/>
        </w:rPr>
        <w:t xml:space="preserve"> </w:t>
      </w:r>
      <w:r w:rsidRPr="002D45C4">
        <w:rPr>
          <w:rFonts w:ascii="David" w:hAnsi="David"/>
          <w:noProof w:val="0"/>
          <w:sz w:val="26"/>
          <w:szCs w:val="26"/>
          <w:rtl/>
        </w:rPr>
        <w:t>בן גוריון</w:t>
      </w:r>
      <w:r w:rsidRPr="002D45C4">
        <w:rPr>
          <w:rFonts w:ascii="David" w:hAnsi="David" w:hint="cs"/>
          <w:noProof w:val="0"/>
          <w:sz w:val="26"/>
          <w:szCs w:val="26"/>
          <w:rtl/>
        </w:rPr>
        <w:t xml:space="preserve"> (</w:t>
      </w:r>
      <w:r>
        <w:rPr>
          <w:rFonts w:ascii="David" w:hAnsi="David" w:hint="cs"/>
          <w:noProof w:val="0"/>
          <w:sz w:val="26"/>
          <w:szCs w:val="26"/>
          <w:rtl/>
        </w:rPr>
        <w:t>לעיל ו</w:t>
      </w:r>
      <w:r w:rsidRPr="002D45C4">
        <w:rPr>
          <w:rFonts w:ascii="David" w:hAnsi="David" w:hint="cs"/>
          <w:noProof w:val="0"/>
          <w:sz w:val="26"/>
          <w:szCs w:val="26"/>
          <w:rtl/>
        </w:rPr>
        <w:t>להלן: "</w:t>
      </w:r>
      <w:r w:rsidRPr="002D45C4">
        <w:rPr>
          <w:rFonts w:ascii="David" w:hAnsi="David" w:hint="cs"/>
          <w:b/>
          <w:bCs/>
          <w:noProof w:val="0"/>
          <w:sz w:val="26"/>
          <w:szCs w:val="26"/>
          <w:rtl/>
        </w:rPr>
        <w:t>נתב"ג</w:t>
      </w:r>
      <w:r w:rsidRPr="002D45C4">
        <w:rPr>
          <w:rFonts w:ascii="David" w:hAnsi="David" w:hint="cs"/>
          <w:noProof w:val="0"/>
          <w:sz w:val="26"/>
          <w:szCs w:val="26"/>
          <w:rtl/>
        </w:rPr>
        <w:t xml:space="preserve">"). </w:t>
      </w:r>
      <w:r w:rsidRPr="00C2037A">
        <w:rPr>
          <w:rFonts w:ascii="David" w:hAnsi="David"/>
          <w:noProof w:val="0"/>
          <w:sz w:val="26"/>
          <w:szCs w:val="26"/>
          <w:rtl/>
        </w:rPr>
        <w:t xml:space="preserve">שירותי האירוח בטרקלינים </w:t>
      </w:r>
      <w:r w:rsidRPr="00C2037A">
        <w:rPr>
          <w:rFonts w:ascii="David" w:hAnsi="David" w:hint="cs"/>
          <w:noProof w:val="0"/>
          <w:sz w:val="26"/>
          <w:szCs w:val="26"/>
          <w:rtl/>
        </w:rPr>
        <w:t>כוללים, בין היתר, העמדה לרשות המתארחים של</w:t>
      </w:r>
      <w:r w:rsidRPr="00C2037A">
        <w:rPr>
          <w:rFonts w:ascii="David" w:hAnsi="David"/>
          <w:noProof w:val="0"/>
          <w:sz w:val="26"/>
          <w:szCs w:val="26"/>
          <w:rtl/>
        </w:rPr>
        <w:t xml:space="preserve"> מזנון פתוח </w:t>
      </w:r>
      <w:r w:rsidRPr="00C2037A">
        <w:rPr>
          <w:rFonts w:ascii="David" w:hAnsi="David" w:hint="cs"/>
          <w:noProof w:val="0"/>
          <w:sz w:val="26"/>
          <w:szCs w:val="26"/>
          <w:rtl/>
        </w:rPr>
        <w:t>(</w:t>
      </w:r>
      <w:r w:rsidRPr="00C2037A">
        <w:rPr>
          <w:rFonts w:ascii="David" w:hAnsi="David"/>
          <w:noProof w:val="0"/>
          <w:sz w:val="26"/>
          <w:szCs w:val="26"/>
          <w:rtl/>
        </w:rPr>
        <w:t>בופה</w:t>
      </w:r>
      <w:r w:rsidRPr="00C2037A">
        <w:rPr>
          <w:rFonts w:ascii="David" w:hAnsi="David" w:hint="cs"/>
          <w:noProof w:val="0"/>
          <w:sz w:val="26"/>
          <w:szCs w:val="26"/>
          <w:rtl/>
        </w:rPr>
        <w:t>),</w:t>
      </w:r>
      <w:r w:rsidRPr="00C2037A">
        <w:rPr>
          <w:rFonts w:ascii="David" w:hAnsi="David"/>
          <w:noProof w:val="0"/>
          <w:sz w:val="26"/>
          <w:szCs w:val="26"/>
          <w:rtl/>
        </w:rPr>
        <w:t xml:space="preserve"> משקאות</w:t>
      </w:r>
      <w:r w:rsidRPr="00C2037A">
        <w:rPr>
          <w:rFonts w:ascii="David" w:hAnsi="David" w:hint="cs"/>
          <w:noProof w:val="0"/>
          <w:sz w:val="26"/>
          <w:szCs w:val="26"/>
          <w:rtl/>
        </w:rPr>
        <w:t xml:space="preserve"> </w:t>
      </w:r>
      <w:r w:rsidRPr="00C2037A">
        <w:rPr>
          <w:rFonts w:ascii="David" w:hAnsi="David"/>
          <w:noProof w:val="0"/>
          <w:sz w:val="26"/>
          <w:szCs w:val="26"/>
          <w:rtl/>
        </w:rPr>
        <w:t>חמים</w:t>
      </w:r>
      <w:r w:rsidRPr="00C2037A">
        <w:rPr>
          <w:rFonts w:ascii="David" w:hAnsi="David" w:hint="cs"/>
          <w:noProof w:val="0"/>
          <w:sz w:val="26"/>
          <w:szCs w:val="26"/>
          <w:rtl/>
        </w:rPr>
        <w:t>,</w:t>
      </w:r>
      <w:r w:rsidRPr="00C2037A">
        <w:rPr>
          <w:rFonts w:ascii="David" w:hAnsi="David"/>
          <w:noProof w:val="0"/>
          <w:sz w:val="26"/>
          <w:szCs w:val="26"/>
          <w:rtl/>
        </w:rPr>
        <w:t xml:space="preserve"> קרים </w:t>
      </w:r>
      <w:r w:rsidRPr="00C2037A">
        <w:rPr>
          <w:rFonts w:ascii="David" w:hAnsi="David" w:hint="cs"/>
          <w:noProof w:val="0"/>
          <w:sz w:val="26"/>
          <w:szCs w:val="26"/>
          <w:rtl/>
        </w:rPr>
        <w:t>ו</w:t>
      </w:r>
      <w:r w:rsidRPr="00C2037A">
        <w:rPr>
          <w:rFonts w:ascii="David" w:hAnsi="David"/>
          <w:noProof w:val="0"/>
          <w:sz w:val="26"/>
          <w:szCs w:val="26"/>
          <w:rtl/>
        </w:rPr>
        <w:t>אלכוהוליים, מתחמי ישיבה, מגזינים</w:t>
      </w:r>
      <w:r w:rsidRPr="00C2037A">
        <w:rPr>
          <w:rFonts w:ascii="David" w:hAnsi="David" w:hint="cs"/>
          <w:noProof w:val="0"/>
          <w:sz w:val="26"/>
          <w:szCs w:val="26"/>
          <w:rtl/>
        </w:rPr>
        <w:t>,</w:t>
      </w:r>
      <w:r w:rsidRPr="00C2037A">
        <w:rPr>
          <w:rFonts w:ascii="David" w:hAnsi="David"/>
          <w:noProof w:val="0"/>
          <w:sz w:val="26"/>
          <w:szCs w:val="26"/>
          <w:rtl/>
        </w:rPr>
        <w:t xml:space="preserve"> עיתונים</w:t>
      </w:r>
      <w:r w:rsidRPr="00C2037A">
        <w:rPr>
          <w:rFonts w:ascii="David" w:hAnsi="David" w:hint="cs"/>
          <w:noProof w:val="0"/>
          <w:sz w:val="26"/>
          <w:szCs w:val="26"/>
          <w:rtl/>
        </w:rPr>
        <w:t xml:space="preserve"> וכדומה.</w:t>
      </w:r>
    </w:p>
    <w:p w:rsidR="00112166" w:rsidRPr="00C2037A" w:rsidRDefault="00112166" w:rsidP="00112166">
      <w:pPr>
        <w:numPr>
          <w:ilvl w:val="0"/>
          <w:numId w:val="1"/>
        </w:numPr>
        <w:spacing w:after="240" w:line="360" w:lineRule="auto"/>
        <w:jc w:val="both"/>
        <w:rPr>
          <w:rFonts w:ascii="David" w:hAnsi="David"/>
          <w:noProof w:val="0"/>
          <w:sz w:val="26"/>
          <w:szCs w:val="26"/>
        </w:rPr>
      </w:pPr>
      <w:r w:rsidRPr="006F1FDB">
        <w:rPr>
          <w:rFonts w:ascii="David" w:hAnsi="David"/>
          <w:noProof w:val="0"/>
          <w:sz w:val="26"/>
          <w:szCs w:val="26"/>
          <w:rtl/>
        </w:rPr>
        <w:t>הפעלת טרקליני האירוח בנת</w:t>
      </w:r>
      <w:r>
        <w:rPr>
          <w:rFonts w:ascii="David" w:hAnsi="David"/>
          <w:noProof w:val="0"/>
          <w:sz w:val="26"/>
          <w:szCs w:val="26"/>
          <w:rtl/>
        </w:rPr>
        <w:t>ב"ג</w:t>
      </w:r>
      <w:r>
        <w:rPr>
          <w:rFonts w:ascii="David" w:hAnsi="David" w:hint="cs"/>
          <w:noProof w:val="0"/>
          <w:sz w:val="26"/>
          <w:szCs w:val="26"/>
          <w:rtl/>
        </w:rPr>
        <w:t xml:space="preserve"> בתקופה הרלוונטית לערעור דנן</w:t>
      </w:r>
      <w:r>
        <w:rPr>
          <w:rFonts w:ascii="David" w:hAnsi="David"/>
          <w:noProof w:val="0"/>
          <w:sz w:val="26"/>
          <w:szCs w:val="26"/>
          <w:rtl/>
        </w:rPr>
        <w:t xml:space="preserve"> נעש</w:t>
      </w:r>
      <w:r>
        <w:rPr>
          <w:rFonts w:ascii="David" w:hAnsi="David" w:hint="cs"/>
          <w:noProof w:val="0"/>
          <w:sz w:val="26"/>
          <w:szCs w:val="26"/>
          <w:rtl/>
        </w:rPr>
        <w:t>תה</w:t>
      </w:r>
      <w:r w:rsidRPr="006F1FDB">
        <w:rPr>
          <w:rFonts w:ascii="David" w:hAnsi="David"/>
          <w:noProof w:val="0"/>
          <w:sz w:val="26"/>
          <w:szCs w:val="26"/>
          <w:rtl/>
        </w:rPr>
        <w:t xml:space="preserve"> מכוח </w:t>
      </w:r>
      <w:r>
        <w:rPr>
          <w:rFonts w:ascii="David" w:hAnsi="David" w:hint="cs"/>
          <w:noProof w:val="0"/>
          <w:sz w:val="26"/>
          <w:szCs w:val="26"/>
          <w:rtl/>
        </w:rPr>
        <w:t>"חוזה</w:t>
      </w:r>
      <w:r w:rsidRPr="006F1FDB">
        <w:rPr>
          <w:rFonts w:ascii="David" w:hAnsi="David" w:hint="cs"/>
          <w:noProof w:val="0"/>
          <w:sz w:val="26"/>
          <w:szCs w:val="26"/>
          <w:rtl/>
        </w:rPr>
        <w:t xml:space="preserve"> </w:t>
      </w:r>
      <w:r w:rsidRPr="006F1FDB">
        <w:rPr>
          <w:rFonts w:ascii="David" w:hAnsi="David"/>
          <w:noProof w:val="0"/>
          <w:sz w:val="26"/>
          <w:szCs w:val="26"/>
          <w:rtl/>
        </w:rPr>
        <w:t>הרשאה למתן שירותי ניהול והפעלה של טרקליני אירוח</w:t>
      </w:r>
      <w:r>
        <w:rPr>
          <w:rFonts w:ascii="David" w:hAnsi="David" w:hint="cs"/>
          <w:noProof w:val="0"/>
          <w:sz w:val="26"/>
          <w:szCs w:val="26"/>
          <w:rtl/>
        </w:rPr>
        <w:t xml:space="preserve"> באולם הנוסעים היוצאים, באולם הנכנסים שבבניין הקרקעי בטרמינל 3, ובטרמינל 1 שבנמל התעופה בן-גוריון"</w:t>
      </w:r>
      <w:r>
        <w:rPr>
          <w:rFonts w:ascii="David" w:hAnsi="David"/>
          <w:noProof w:val="0"/>
          <w:sz w:val="26"/>
          <w:szCs w:val="26"/>
          <w:rtl/>
        </w:rPr>
        <w:t>, שנחתם ב</w:t>
      </w:r>
      <w:r>
        <w:rPr>
          <w:rFonts w:ascii="David" w:hAnsi="David" w:hint="cs"/>
          <w:noProof w:val="0"/>
          <w:sz w:val="26"/>
          <w:szCs w:val="26"/>
          <w:rtl/>
        </w:rPr>
        <w:t>יום 5.11.2013</w:t>
      </w:r>
      <w:r w:rsidRPr="006F1FDB">
        <w:rPr>
          <w:rFonts w:ascii="David" w:hAnsi="David"/>
          <w:noProof w:val="0"/>
          <w:sz w:val="26"/>
          <w:szCs w:val="26"/>
          <w:rtl/>
        </w:rPr>
        <w:t xml:space="preserve"> בין רשות</w:t>
      </w:r>
      <w:r w:rsidRPr="006F1FDB">
        <w:rPr>
          <w:rFonts w:ascii="David" w:hAnsi="David" w:hint="cs"/>
          <w:noProof w:val="0"/>
          <w:sz w:val="26"/>
          <w:szCs w:val="26"/>
          <w:rtl/>
        </w:rPr>
        <w:t xml:space="preserve"> </w:t>
      </w:r>
      <w:r>
        <w:rPr>
          <w:rFonts w:ascii="David" w:hAnsi="David"/>
          <w:noProof w:val="0"/>
          <w:sz w:val="26"/>
          <w:szCs w:val="26"/>
          <w:rtl/>
        </w:rPr>
        <w:t>שדות התעופה</w:t>
      </w:r>
      <w:r w:rsidRPr="006F1FDB">
        <w:rPr>
          <w:rFonts w:ascii="David" w:hAnsi="David"/>
          <w:noProof w:val="0"/>
          <w:sz w:val="26"/>
          <w:szCs w:val="26"/>
          <w:rtl/>
        </w:rPr>
        <w:t xml:space="preserve"> </w:t>
      </w:r>
      <w:r>
        <w:rPr>
          <w:rFonts w:ascii="David" w:hAnsi="David" w:hint="cs"/>
          <w:noProof w:val="0"/>
          <w:sz w:val="26"/>
          <w:szCs w:val="26"/>
          <w:rtl/>
        </w:rPr>
        <w:t>(</w:t>
      </w:r>
      <w:r>
        <w:rPr>
          <w:rFonts w:ascii="David" w:hAnsi="David"/>
          <w:noProof w:val="0"/>
          <w:sz w:val="26"/>
          <w:szCs w:val="26"/>
          <w:rtl/>
        </w:rPr>
        <w:t>להלן: "</w:t>
      </w:r>
      <w:r>
        <w:rPr>
          <w:rFonts w:ascii="David" w:hAnsi="David" w:hint="cs"/>
          <w:b/>
          <w:bCs/>
          <w:noProof w:val="0"/>
          <w:sz w:val="26"/>
          <w:szCs w:val="26"/>
          <w:rtl/>
        </w:rPr>
        <w:t>הרשות</w:t>
      </w:r>
      <w:r>
        <w:rPr>
          <w:rFonts w:ascii="David" w:hAnsi="David"/>
          <w:noProof w:val="0"/>
          <w:sz w:val="26"/>
          <w:szCs w:val="26"/>
          <w:rtl/>
        </w:rPr>
        <w:t>"</w:t>
      </w:r>
      <w:r>
        <w:rPr>
          <w:rFonts w:ascii="David" w:hAnsi="David" w:hint="cs"/>
          <w:noProof w:val="0"/>
          <w:sz w:val="26"/>
          <w:szCs w:val="26"/>
          <w:rtl/>
        </w:rPr>
        <w:t>)</w:t>
      </w:r>
      <w:r>
        <w:rPr>
          <w:rFonts w:ascii="David" w:hAnsi="David"/>
          <w:noProof w:val="0"/>
          <w:sz w:val="26"/>
          <w:szCs w:val="26"/>
          <w:rtl/>
        </w:rPr>
        <w:t xml:space="preserve"> </w:t>
      </w:r>
      <w:r>
        <w:rPr>
          <w:rFonts w:ascii="David" w:hAnsi="David" w:hint="cs"/>
          <w:noProof w:val="0"/>
          <w:sz w:val="26"/>
          <w:szCs w:val="26"/>
          <w:rtl/>
        </w:rPr>
        <w:t>ו</w:t>
      </w:r>
      <w:r>
        <w:rPr>
          <w:rFonts w:ascii="David" w:hAnsi="David"/>
          <w:noProof w:val="0"/>
          <w:sz w:val="26"/>
          <w:szCs w:val="26"/>
          <w:rtl/>
        </w:rPr>
        <w:t xml:space="preserve">בין המערערת </w:t>
      </w:r>
      <w:r>
        <w:rPr>
          <w:rFonts w:ascii="David" w:hAnsi="David" w:hint="cs"/>
          <w:noProof w:val="0"/>
          <w:sz w:val="26"/>
          <w:szCs w:val="26"/>
          <w:rtl/>
        </w:rPr>
        <w:t>(</w:t>
      </w:r>
      <w:r w:rsidRPr="006F1FDB">
        <w:rPr>
          <w:rFonts w:ascii="David" w:hAnsi="David"/>
          <w:noProof w:val="0"/>
          <w:sz w:val="26"/>
          <w:szCs w:val="26"/>
          <w:rtl/>
        </w:rPr>
        <w:t>להלן</w:t>
      </w:r>
      <w:r>
        <w:rPr>
          <w:rFonts w:ascii="David" w:hAnsi="David"/>
          <w:noProof w:val="0"/>
          <w:sz w:val="26"/>
          <w:szCs w:val="26"/>
          <w:rtl/>
        </w:rPr>
        <w:t>: "</w:t>
      </w:r>
      <w:r w:rsidRPr="004D748D">
        <w:rPr>
          <w:rFonts w:ascii="David" w:hAnsi="David"/>
          <w:b/>
          <w:bCs/>
          <w:noProof w:val="0"/>
          <w:sz w:val="26"/>
          <w:szCs w:val="26"/>
          <w:rtl/>
        </w:rPr>
        <w:t>הסכם ההרשאה</w:t>
      </w:r>
      <w:r>
        <w:rPr>
          <w:rFonts w:ascii="David" w:hAnsi="David"/>
          <w:noProof w:val="0"/>
          <w:sz w:val="26"/>
          <w:szCs w:val="26"/>
          <w:rtl/>
        </w:rPr>
        <w:t>"</w:t>
      </w:r>
      <w:r>
        <w:rPr>
          <w:rFonts w:ascii="David" w:hAnsi="David" w:hint="cs"/>
          <w:noProof w:val="0"/>
          <w:sz w:val="26"/>
          <w:szCs w:val="26"/>
          <w:rtl/>
        </w:rPr>
        <w:t>, נספח 1 לתצהיר המערערת)</w:t>
      </w:r>
      <w:r w:rsidRPr="006F1FDB">
        <w:rPr>
          <w:rFonts w:ascii="David" w:hAnsi="David"/>
          <w:noProof w:val="0"/>
          <w:sz w:val="26"/>
          <w:szCs w:val="26"/>
          <w:rtl/>
        </w:rPr>
        <w:t>.</w:t>
      </w:r>
      <w:r>
        <w:rPr>
          <w:rFonts w:ascii="David" w:hAnsi="David" w:hint="cs"/>
          <w:noProof w:val="0"/>
          <w:sz w:val="26"/>
          <w:szCs w:val="26"/>
          <w:rtl/>
        </w:rPr>
        <w:t xml:space="preserve"> </w:t>
      </w:r>
      <w:r w:rsidRPr="006F1FDB">
        <w:rPr>
          <w:rFonts w:ascii="David" w:hAnsi="David"/>
          <w:noProof w:val="0"/>
          <w:sz w:val="26"/>
          <w:szCs w:val="26"/>
          <w:rtl/>
        </w:rPr>
        <w:t>בהסכם ההרשאה נקבע כי המערערת תקבל רישיון להפעיל ולנהל טרקליני אירוח בנתב"ג</w:t>
      </w:r>
      <w:r>
        <w:rPr>
          <w:rFonts w:ascii="David" w:hAnsi="David" w:hint="cs"/>
          <w:noProof w:val="0"/>
          <w:sz w:val="26"/>
          <w:szCs w:val="26"/>
          <w:rtl/>
        </w:rPr>
        <w:t xml:space="preserve"> </w:t>
      </w:r>
      <w:r w:rsidRPr="006F1FDB">
        <w:rPr>
          <w:rFonts w:ascii="David" w:hAnsi="David"/>
          <w:noProof w:val="0"/>
          <w:sz w:val="26"/>
          <w:szCs w:val="26"/>
          <w:rtl/>
        </w:rPr>
        <w:t xml:space="preserve">תמורת תשלום דמי הרשאה </w:t>
      </w:r>
      <w:r>
        <w:rPr>
          <w:rFonts w:ascii="David" w:hAnsi="David" w:hint="cs"/>
          <w:noProof w:val="0"/>
          <w:sz w:val="26"/>
          <w:szCs w:val="26"/>
          <w:rtl/>
        </w:rPr>
        <w:t>לרשות</w:t>
      </w:r>
      <w:r w:rsidRPr="006F1FDB">
        <w:rPr>
          <w:rFonts w:ascii="David" w:hAnsi="David"/>
          <w:noProof w:val="0"/>
          <w:sz w:val="26"/>
          <w:szCs w:val="26"/>
          <w:rtl/>
        </w:rPr>
        <w:t xml:space="preserve"> בתוספת מע"מ.</w:t>
      </w:r>
    </w:p>
    <w:p w:rsidR="00112166" w:rsidRPr="002D45C4" w:rsidRDefault="00112166" w:rsidP="00112166">
      <w:pPr>
        <w:numPr>
          <w:ilvl w:val="0"/>
          <w:numId w:val="1"/>
        </w:numPr>
        <w:spacing w:after="240" w:line="360" w:lineRule="auto"/>
        <w:jc w:val="both"/>
        <w:rPr>
          <w:rFonts w:ascii="David" w:hAnsi="David"/>
          <w:noProof w:val="0"/>
          <w:sz w:val="26"/>
          <w:szCs w:val="26"/>
        </w:rPr>
      </w:pPr>
      <w:r w:rsidRPr="002D45C4">
        <w:rPr>
          <w:rFonts w:ascii="David" w:hAnsi="David"/>
          <w:noProof w:val="0"/>
          <w:sz w:val="26"/>
          <w:szCs w:val="26"/>
          <w:rtl/>
        </w:rPr>
        <w:lastRenderedPageBreak/>
        <w:t>המערערת</w:t>
      </w:r>
      <w:r>
        <w:rPr>
          <w:rFonts w:ascii="David" w:hAnsi="David" w:hint="cs"/>
          <w:noProof w:val="0"/>
          <w:sz w:val="26"/>
          <w:szCs w:val="26"/>
          <w:rtl/>
        </w:rPr>
        <w:t xml:space="preserve"> מספקת את </w:t>
      </w:r>
      <w:r w:rsidRPr="002D45C4">
        <w:rPr>
          <w:rFonts w:ascii="David" w:hAnsi="David"/>
          <w:noProof w:val="0"/>
          <w:sz w:val="26"/>
          <w:szCs w:val="26"/>
          <w:rtl/>
        </w:rPr>
        <w:t xml:space="preserve">שירותי </w:t>
      </w:r>
      <w:r>
        <w:rPr>
          <w:rFonts w:ascii="David" w:hAnsi="David" w:hint="cs"/>
          <w:noProof w:val="0"/>
          <w:sz w:val="26"/>
          <w:szCs w:val="26"/>
          <w:rtl/>
        </w:rPr>
        <w:t>ה</w:t>
      </w:r>
      <w:r w:rsidRPr="002D45C4">
        <w:rPr>
          <w:rFonts w:ascii="David" w:hAnsi="David"/>
          <w:noProof w:val="0"/>
          <w:sz w:val="26"/>
          <w:szCs w:val="26"/>
          <w:rtl/>
        </w:rPr>
        <w:t>אירוח</w:t>
      </w:r>
      <w:r>
        <w:rPr>
          <w:rFonts w:ascii="David" w:hAnsi="David" w:hint="cs"/>
          <w:noProof w:val="0"/>
          <w:sz w:val="26"/>
          <w:szCs w:val="26"/>
          <w:rtl/>
        </w:rPr>
        <w:t xml:space="preserve"> בטרקלינים</w:t>
      </w:r>
      <w:r w:rsidRPr="002D45C4">
        <w:rPr>
          <w:rFonts w:ascii="David" w:hAnsi="David"/>
          <w:noProof w:val="0"/>
          <w:sz w:val="26"/>
          <w:szCs w:val="26"/>
          <w:rtl/>
        </w:rPr>
        <w:t xml:space="preserve"> </w:t>
      </w:r>
      <w:r>
        <w:rPr>
          <w:rFonts w:ascii="David" w:hAnsi="David" w:hint="cs"/>
          <w:noProof w:val="0"/>
          <w:sz w:val="26"/>
          <w:szCs w:val="26"/>
          <w:rtl/>
        </w:rPr>
        <w:t xml:space="preserve">בעיקר </w:t>
      </w:r>
      <w:r w:rsidRPr="002D45C4">
        <w:rPr>
          <w:rFonts w:ascii="David" w:hAnsi="David"/>
          <w:noProof w:val="0"/>
          <w:sz w:val="26"/>
          <w:szCs w:val="26"/>
          <w:rtl/>
        </w:rPr>
        <w:t>לנוסעי</w:t>
      </w:r>
      <w:r>
        <w:rPr>
          <w:rFonts w:ascii="David" w:hAnsi="David" w:hint="cs"/>
          <w:noProof w:val="0"/>
          <w:sz w:val="26"/>
          <w:szCs w:val="26"/>
          <w:rtl/>
        </w:rPr>
        <w:t>ם היוצאים מישראל אשר:</w:t>
      </w:r>
      <w:r w:rsidRPr="002D45C4">
        <w:rPr>
          <w:rFonts w:ascii="David" w:hAnsi="David"/>
          <w:noProof w:val="0"/>
          <w:sz w:val="26"/>
          <w:szCs w:val="26"/>
          <w:rtl/>
        </w:rPr>
        <w:t xml:space="preserve"> </w:t>
      </w:r>
      <w:r>
        <w:rPr>
          <w:rFonts w:ascii="David" w:hAnsi="David" w:hint="cs"/>
          <w:noProof w:val="0"/>
          <w:sz w:val="26"/>
          <w:szCs w:val="26"/>
          <w:rtl/>
        </w:rPr>
        <w:t>רכשו כרטיסי טיסה למחלקות היוקרה</w:t>
      </w:r>
      <w:r w:rsidRPr="002D45C4">
        <w:rPr>
          <w:rFonts w:ascii="David" w:hAnsi="David"/>
          <w:noProof w:val="0"/>
          <w:sz w:val="26"/>
          <w:szCs w:val="26"/>
          <w:rtl/>
        </w:rPr>
        <w:t xml:space="preserve"> של חברות</w:t>
      </w:r>
      <w:r>
        <w:rPr>
          <w:rFonts w:ascii="David" w:hAnsi="David"/>
          <w:noProof w:val="0"/>
          <w:sz w:val="26"/>
          <w:szCs w:val="26"/>
          <w:rtl/>
        </w:rPr>
        <w:t xml:space="preserve"> תעופה שונות</w:t>
      </w:r>
      <w:r>
        <w:rPr>
          <w:rFonts w:ascii="David" w:hAnsi="David" w:hint="cs"/>
          <w:noProof w:val="0"/>
          <w:sz w:val="26"/>
          <w:szCs w:val="26"/>
          <w:rtl/>
        </w:rPr>
        <w:t>;</w:t>
      </w:r>
      <w:r w:rsidRPr="002D45C4">
        <w:rPr>
          <w:rFonts w:ascii="David" w:hAnsi="David"/>
          <w:noProof w:val="0"/>
          <w:sz w:val="26"/>
          <w:szCs w:val="26"/>
          <w:rtl/>
        </w:rPr>
        <w:t xml:space="preserve"> </w:t>
      </w:r>
      <w:r>
        <w:rPr>
          <w:rFonts w:ascii="David" w:hAnsi="David" w:hint="cs"/>
          <w:noProof w:val="0"/>
          <w:sz w:val="26"/>
          <w:szCs w:val="26"/>
          <w:rtl/>
        </w:rPr>
        <w:t>או שהם חברי</w:t>
      </w:r>
      <w:r>
        <w:rPr>
          <w:rFonts w:ascii="David" w:hAnsi="David"/>
          <w:noProof w:val="0"/>
          <w:sz w:val="26"/>
          <w:szCs w:val="26"/>
          <w:rtl/>
        </w:rPr>
        <w:t xml:space="preserve"> מועדוני לקוחות </w:t>
      </w:r>
      <w:r>
        <w:rPr>
          <w:rFonts w:ascii="David" w:hAnsi="David" w:hint="cs"/>
          <w:noProof w:val="0"/>
          <w:sz w:val="26"/>
          <w:szCs w:val="26"/>
          <w:rtl/>
        </w:rPr>
        <w:t>או מחזיקי</w:t>
      </w:r>
      <w:r w:rsidRPr="002D45C4">
        <w:rPr>
          <w:rFonts w:ascii="David" w:hAnsi="David"/>
          <w:noProof w:val="0"/>
          <w:sz w:val="26"/>
          <w:szCs w:val="26"/>
          <w:rtl/>
        </w:rPr>
        <w:t xml:space="preserve"> כרטיסי אשראי</w:t>
      </w:r>
      <w:r>
        <w:rPr>
          <w:rFonts w:ascii="David" w:hAnsi="David" w:hint="cs"/>
          <w:noProof w:val="0"/>
          <w:sz w:val="26"/>
          <w:szCs w:val="26"/>
          <w:rtl/>
        </w:rPr>
        <w:t xml:space="preserve"> מסוימים; או שהם שילמו למערערת ישירות עבור השירותים</w:t>
      </w:r>
      <w:r w:rsidRPr="002D45C4">
        <w:rPr>
          <w:rFonts w:ascii="David" w:hAnsi="David" w:hint="cs"/>
          <w:noProof w:val="0"/>
          <w:sz w:val="26"/>
          <w:szCs w:val="26"/>
          <w:rtl/>
        </w:rPr>
        <w:t>.</w:t>
      </w:r>
      <w:r>
        <w:rPr>
          <w:rFonts w:ascii="David" w:hAnsi="David" w:hint="cs"/>
          <w:noProof w:val="0"/>
          <w:sz w:val="26"/>
          <w:szCs w:val="26"/>
          <w:rtl/>
        </w:rPr>
        <w:t xml:space="preserve"> את התשלום עבור שירותי האירוח גובה המערערת מחברות התעופה, ממועדוני הלקוחות, מחברות כרטיסי האשראי או מהנוסעים עצמם, בהתאמה.</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המערערת דיווחה למשיב על הכנסותיה ממתן שירותי האירוח. על הכנסותיה מחברות תעופה המחזיקות סניף בישראל, ממועדוני לקוחות ישראליים, מחברות כרטיסי אשראי ומנוסעים מזדמנים ישראליים </w:t>
      </w:r>
      <w:r>
        <w:rPr>
          <w:rFonts w:ascii="David" w:hAnsi="David"/>
          <w:noProof w:val="0"/>
          <w:sz w:val="26"/>
          <w:szCs w:val="26"/>
          <w:rtl/>
        </w:rPr>
        <w:t>–</w:t>
      </w:r>
      <w:r>
        <w:rPr>
          <w:rFonts w:ascii="David" w:hAnsi="David" w:hint="cs"/>
          <w:noProof w:val="0"/>
          <w:sz w:val="26"/>
          <w:szCs w:val="26"/>
          <w:rtl/>
        </w:rPr>
        <w:t xml:space="preserve"> דיווחה כהכנסות החייבות במס בשיעור מלא; ועל הכנסותיה מחברות תעופה זרות וממועדוני לקוחות זרים </w:t>
      </w:r>
      <w:r>
        <w:rPr>
          <w:rFonts w:ascii="David" w:hAnsi="David"/>
          <w:noProof w:val="0"/>
          <w:sz w:val="26"/>
          <w:szCs w:val="26"/>
          <w:rtl/>
        </w:rPr>
        <w:t>–</w:t>
      </w:r>
      <w:r>
        <w:rPr>
          <w:rFonts w:ascii="David" w:hAnsi="David" w:hint="cs"/>
          <w:noProof w:val="0"/>
          <w:sz w:val="26"/>
          <w:szCs w:val="26"/>
          <w:rtl/>
        </w:rPr>
        <w:t xml:space="preserve"> דיווחה כהכנסות החייבות במס בשיעור אפס.</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מנגד</w:t>
      </w:r>
      <w:r w:rsidRPr="00CC2372">
        <w:rPr>
          <w:rFonts w:ascii="David" w:hAnsi="David" w:hint="cs"/>
          <w:noProof w:val="0"/>
          <w:sz w:val="26"/>
          <w:szCs w:val="26"/>
          <w:rtl/>
        </w:rPr>
        <w:t xml:space="preserve">, לעמדת המשיב, </w:t>
      </w:r>
      <w:r w:rsidRPr="00CC2372">
        <w:rPr>
          <w:rFonts w:ascii="David" w:hAnsi="David"/>
          <w:noProof w:val="0"/>
          <w:sz w:val="26"/>
          <w:szCs w:val="26"/>
          <w:rtl/>
        </w:rPr>
        <w:t xml:space="preserve">מתן שירותי אירוח בטרקליני </w:t>
      </w:r>
      <w:r>
        <w:rPr>
          <w:rFonts w:ascii="David" w:hAnsi="David" w:hint="cs"/>
          <w:noProof w:val="0"/>
          <w:sz w:val="26"/>
          <w:szCs w:val="26"/>
          <w:rtl/>
        </w:rPr>
        <w:t>האירוח</w:t>
      </w:r>
      <w:r w:rsidRPr="00CC2372">
        <w:rPr>
          <w:rFonts w:ascii="David" w:hAnsi="David"/>
          <w:noProof w:val="0"/>
          <w:sz w:val="26"/>
          <w:szCs w:val="26"/>
          <w:rtl/>
        </w:rPr>
        <w:t xml:space="preserve"> בנתב"ג, לרבות לנוסעי חברות תעופה זרות </w:t>
      </w:r>
      <w:r>
        <w:rPr>
          <w:rFonts w:ascii="David" w:hAnsi="David" w:hint="cs"/>
          <w:noProof w:val="0"/>
          <w:sz w:val="26"/>
          <w:szCs w:val="26"/>
          <w:rtl/>
        </w:rPr>
        <w:t>וחברי</w:t>
      </w:r>
      <w:r w:rsidRPr="00CC2372">
        <w:rPr>
          <w:rFonts w:ascii="David" w:hAnsi="David"/>
          <w:noProof w:val="0"/>
          <w:sz w:val="26"/>
          <w:szCs w:val="26"/>
          <w:rtl/>
        </w:rPr>
        <w:t xml:space="preserve"> מועדוני</w:t>
      </w:r>
      <w:r>
        <w:rPr>
          <w:rFonts w:ascii="David" w:hAnsi="David" w:hint="cs"/>
          <w:noProof w:val="0"/>
          <w:sz w:val="26"/>
          <w:szCs w:val="26"/>
          <w:rtl/>
        </w:rPr>
        <w:t xml:space="preserve"> </w:t>
      </w:r>
      <w:r w:rsidRPr="00CC2372">
        <w:rPr>
          <w:rFonts w:ascii="David" w:hAnsi="David"/>
          <w:noProof w:val="0"/>
          <w:sz w:val="26"/>
          <w:szCs w:val="26"/>
          <w:rtl/>
        </w:rPr>
        <w:t>לקוחות זרים, מהווה עסקה החייבת במס בשיעור מלא</w:t>
      </w:r>
      <w:r>
        <w:rPr>
          <w:rFonts w:ascii="David" w:hAnsi="David" w:hint="cs"/>
          <w:noProof w:val="0"/>
          <w:sz w:val="26"/>
          <w:szCs w:val="26"/>
          <w:rtl/>
        </w:rPr>
        <w:t>. המשיב הוציא למערערת שומת מס עסקאות בה הוא חייב את המערערת בתשלום מס עסקאות על מלוא הכנסותיה.</w:t>
      </w:r>
    </w:p>
    <w:p w:rsidR="00112166" w:rsidRPr="00544CD9"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נוסף על כך,</w:t>
      </w:r>
      <w:r w:rsidRPr="00CC2372">
        <w:rPr>
          <w:rFonts w:ascii="David" w:hAnsi="David" w:hint="cs"/>
          <w:noProof w:val="0"/>
          <w:sz w:val="26"/>
          <w:szCs w:val="26"/>
          <w:rtl/>
        </w:rPr>
        <w:t xml:space="preserve"> </w:t>
      </w:r>
      <w:r w:rsidRPr="00CC2372">
        <w:rPr>
          <w:rFonts w:ascii="David" w:hAnsi="David"/>
          <w:noProof w:val="0"/>
          <w:sz w:val="26"/>
          <w:szCs w:val="26"/>
          <w:rtl/>
        </w:rPr>
        <w:t xml:space="preserve">המערערת ניכתה </w:t>
      </w:r>
      <w:r>
        <w:rPr>
          <w:rFonts w:ascii="David" w:hAnsi="David" w:hint="cs"/>
          <w:noProof w:val="0"/>
          <w:sz w:val="26"/>
          <w:szCs w:val="26"/>
          <w:rtl/>
        </w:rPr>
        <w:t>מס תשומות</w:t>
      </w:r>
      <w:r w:rsidRPr="00CC2372">
        <w:rPr>
          <w:rFonts w:ascii="David" w:hAnsi="David" w:hint="cs"/>
          <w:noProof w:val="0"/>
          <w:sz w:val="26"/>
          <w:szCs w:val="26"/>
          <w:rtl/>
        </w:rPr>
        <w:t xml:space="preserve"> </w:t>
      </w:r>
      <w:r w:rsidRPr="00CC2372">
        <w:rPr>
          <w:rFonts w:ascii="David" w:hAnsi="David"/>
          <w:noProof w:val="0"/>
          <w:sz w:val="26"/>
          <w:szCs w:val="26"/>
          <w:rtl/>
        </w:rPr>
        <w:t xml:space="preserve">בגין </w:t>
      </w:r>
      <w:r>
        <w:rPr>
          <w:rFonts w:ascii="David" w:hAnsi="David"/>
          <w:noProof w:val="0"/>
          <w:sz w:val="26"/>
          <w:szCs w:val="26"/>
          <w:rtl/>
        </w:rPr>
        <w:t>שכיר</w:t>
      </w:r>
      <w:r>
        <w:rPr>
          <w:rFonts w:ascii="David" w:hAnsi="David" w:hint="cs"/>
          <w:noProof w:val="0"/>
          <w:sz w:val="26"/>
          <w:szCs w:val="26"/>
          <w:rtl/>
        </w:rPr>
        <w:t xml:space="preserve">תם </w:t>
      </w:r>
      <w:r>
        <w:rPr>
          <w:rFonts w:ascii="David" w:hAnsi="David"/>
          <w:noProof w:val="0"/>
          <w:sz w:val="26"/>
          <w:szCs w:val="26"/>
          <w:rtl/>
        </w:rPr>
        <w:t>ב</w:t>
      </w:r>
      <w:r w:rsidRPr="00CC2372">
        <w:rPr>
          <w:rFonts w:ascii="David" w:hAnsi="David"/>
          <w:noProof w:val="0"/>
          <w:sz w:val="26"/>
          <w:szCs w:val="26"/>
          <w:rtl/>
        </w:rPr>
        <w:t xml:space="preserve">עסקאות </w:t>
      </w:r>
      <w:r w:rsidRPr="00BB1DF8">
        <w:rPr>
          <w:rFonts w:ascii="David" w:hAnsi="David"/>
          <w:noProof w:val="0"/>
          <w:sz w:val="26"/>
          <w:szCs w:val="26"/>
          <w:rtl/>
        </w:rPr>
        <w:t>הֶחְכֵּר</w:t>
      </w:r>
      <w:r>
        <w:rPr>
          <w:rFonts w:ascii="David" w:hAnsi="David" w:hint="cs"/>
          <w:noProof w:val="0"/>
          <w:sz w:val="26"/>
          <w:szCs w:val="26"/>
          <w:rtl/>
        </w:rPr>
        <w:t xml:space="preserve"> (ליסינג)</w:t>
      </w:r>
      <w:r w:rsidRPr="00CC2372">
        <w:rPr>
          <w:rFonts w:ascii="David" w:hAnsi="David"/>
          <w:noProof w:val="0"/>
          <w:sz w:val="26"/>
          <w:szCs w:val="26"/>
          <w:rtl/>
        </w:rPr>
        <w:t xml:space="preserve"> </w:t>
      </w:r>
      <w:r>
        <w:rPr>
          <w:rFonts w:ascii="David" w:hAnsi="David" w:hint="cs"/>
          <w:noProof w:val="0"/>
          <w:sz w:val="26"/>
          <w:szCs w:val="26"/>
          <w:rtl/>
        </w:rPr>
        <w:t>של</w:t>
      </w:r>
      <w:r w:rsidRPr="00CC2372">
        <w:rPr>
          <w:rFonts w:ascii="David" w:hAnsi="David"/>
          <w:noProof w:val="0"/>
          <w:sz w:val="26"/>
          <w:szCs w:val="26"/>
          <w:rtl/>
        </w:rPr>
        <w:t xml:space="preserve"> </w:t>
      </w:r>
      <w:r>
        <w:rPr>
          <w:rFonts w:ascii="David" w:hAnsi="David" w:hint="cs"/>
          <w:noProof w:val="0"/>
          <w:sz w:val="26"/>
          <w:szCs w:val="26"/>
          <w:rtl/>
        </w:rPr>
        <w:t>רכבים פרטיים</w:t>
      </w:r>
      <w:r>
        <w:rPr>
          <w:rFonts w:hint="cs"/>
          <w:rtl/>
        </w:rPr>
        <w:t>,</w:t>
      </w:r>
      <w:r w:rsidRPr="00CC2372">
        <w:rPr>
          <w:rtl/>
        </w:rPr>
        <w:t xml:space="preserve"> </w:t>
      </w:r>
      <w:r>
        <w:rPr>
          <w:rFonts w:ascii="David" w:hAnsi="David"/>
          <w:noProof w:val="0"/>
          <w:sz w:val="26"/>
          <w:szCs w:val="26"/>
          <w:rtl/>
        </w:rPr>
        <w:t xml:space="preserve">כמשמעות </w:t>
      </w:r>
      <w:r>
        <w:rPr>
          <w:rFonts w:ascii="David" w:hAnsi="David" w:hint="cs"/>
          <w:noProof w:val="0"/>
          <w:sz w:val="26"/>
          <w:szCs w:val="26"/>
          <w:rtl/>
        </w:rPr>
        <w:t>ה</w:t>
      </w:r>
      <w:r>
        <w:rPr>
          <w:rFonts w:ascii="David" w:hAnsi="David"/>
          <w:noProof w:val="0"/>
          <w:sz w:val="26"/>
          <w:szCs w:val="26"/>
          <w:rtl/>
        </w:rPr>
        <w:t xml:space="preserve">מונח </w:t>
      </w:r>
      <w:r>
        <w:rPr>
          <w:rFonts w:ascii="David" w:hAnsi="David" w:hint="cs"/>
          <w:noProof w:val="0"/>
          <w:sz w:val="26"/>
          <w:szCs w:val="26"/>
          <w:rtl/>
        </w:rPr>
        <w:t>"רכב פרטי"</w:t>
      </w:r>
      <w:r w:rsidRPr="00CC2372">
        <w:rPr>
          <w:rFonts w:ascii="David" w:hAnsi="David"/>
          <w:noProof w:val="0"/>
          <w:sz w:val="26"/>
          <w:szCs w:val="26"/>
          <w:rtl/>
        </w:rPr>
        <w:t xml:space="preserve"> בתקנה 1 לתקנות מס ערך מוסף, התשל"ו-1976</w:t>
      </w:r>
      <w:r>
        <w:rPr>
          <w:rFonts w:ascii="David" w:hAnsi="David" w:hint="cs"/>
          <w:noProof w:val="0"/>
          <w:sz w:val="26"/>
          <w:szCs w:val="26"/>
          <w:rtl/>
        </w:rPr>
        <w:t xml:space="preserve"> (להלן: "</w:t>
      </w:r>
      <w:r w:rsidRPr="00436B0D">
        <w:rPr>
          <w:rFonts w:ascii="David" w:hAnsi="David" w:hint="cs"/>
          <w:b/>
          <w:bCs/>
          <w:noProof w:val="0"/>
          <w:sz w:val="26"/>
          <w:szCs w:val="26"/>
          <w:rtl/>
        </w:rPr>
        <w:t>התקנות</w:t>
      </w:r>
      <w:r>
        <w:rPr>
          <w:rFonts w:ascii="David" w:hAnsi="David" w:hint="cs"/>
          <w:noProof w:val="0"/>
          <w:sz w:val="26"/>
          <w:szCs w:val="26"/>
          <w:rtl/>
        </w:rPr>
        <w:t>").</w:t>
      </w:r>
      <w:r w:rsidRPr="00544CD9">
        <w:rPr>
          <w:rFonts w:ascii="David" w:hAnsi="David"/>
          <w:noProof w:val="0"/>
          <w:sz w:val="26"/>
          <w:szCs w:val="26"/>
          <w:rtl/>
        </w:rPr>
        <w:t xml:space="preserve"> </w:t>
      </w:r>
      <w:r w:rsidRPr="00544CD9">
        <w:rPr>
          <w:rFonts w:ascii="David" w:hAnsi="David" w:hint="cs"/>
          <w:noProof w:val="0"/>
          <w:sz w:val="26"/>
          <w:szCs w:val="26"/>
          <w:rtl/>
        </w:rPr>
        <w:t xml:space="preserve">המשיב דחה את ניכוי התשומות בגין </w:t>
      </w:r>
      <w:r>
        <w:rPr>
          <w:rFonts w:ascii="David" w:hAnsi="David" w:hint="cs"/>
          <w:noProof w:val="0"/>
          <w:sz w:val="26"/>
          <w:szCs w:val="26"/>
          <w:rtl/>
        </w:rPr>
        <w:t>שכירת</w:t>
      </w:r>
      <w:r w:rsidRPr="00544CD9">
        <w:rPr>
          <w:rFonts w:ascii="David" w:hAnsi="David" w:hint="cs"/>
          <w:noProof w:val="0"/>
          <w:sz w:val="26"/>
          <w:szCs w:val="26"/>
          <w:rtl/>
        </w:rPr>
        <w:t xml:space="preserve"> הרכבים</w:t>
      </w:r>
      <w:r>
        <w:rPr>
          <w:rFonts w:ascii="David" w:hAnsi="David" w:hint="cs"/>
          <w:noProof w:val="0"/>
          <w:sz w:val="26"/>
          <w:szCs w:val="26"/>
          <w:rtl/>
        </w:rPr>
        <w:t xml:space="preserve"> לפי תקנה 14 לתקנות והוא הוציא למערערת שומת מס תשומות בהתאם.</w:t>
      </w:r>
    </w:p>
    <w:p w:rsidR="00112166" w:rsidRPr="00CC2372"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כופרת בשומות שיצאו לה ומכאן ערעור זה.</w:t>
      </w:r>
    </w:p>
    <w:p w:rsidR="00112166" w:rsidRPr="003D024E" w:rsidRDefault="00112166" w:rsidP="00112166">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טענות ה</w:t>
      </w:r>
      <w:r>
        <w:rPr>
          <w:rFonts w:ascii="David" w:hAnsi="David" w:hint="cs"/>
          <w:b/>
          <w:bCs/>
          <w:noProof w:val="0"/>
          <w:sz w:val="28"/>
          <w:szCs w:val="28"/>
          <w:u w:val="single"/>
          <w:rtl/>
        </w:rPr>
        <w:t>מערערת</w:t>
      </w:r>
      <w:r w:rsidRPr="003D024E">
        <w:rPr>
          <w:rFonts w:ascii="David" w:hAnsi="David"/>
          <w:b/>
          <w:bCs/>
          <w:noProof w:val="0"/>
          <w:sz w:val="28"/>
          <w:szCs w:val="28"/>
          <w:u w:val="single"/>
          <w:rtl/>
        </w:rPr>
        <w:t xml:space="preserve"> בתמצית</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sidRPr="003D024E">
        <w:rPr>
          <w:rFonts w:ascii="David" w:hAnsi="David"/>
          <w:noProof w:val="0"/>
          <w:sz w:val="26"/>
          <w:szCs w:val="26"/>
          <w:rtl/>
        </w:rPr>
        <w:t xml:space="preserve">לטענת </w:t>
      </w:r>
      <w:r>
        <w:rPr>
          <w:rFonts w:ascii="David" w:hAnsi="David" w:hint="cs"/>
          <w:noProof w:val="0"/>
          <w:sz w:val="26"/>
          <w:szCs w:val="26"/>
          <w:rtl/>
        </w:rPr>
        <w:t xml:space="preserve">המערערת, שירותי האירוח בטרקלינים חייבים במס בשיעור אפס לפי סעיף 30(א)(6) לחוק. סעיף 30(א)(6) לחוק מקנה הטבה ביחס לשירות שנתנה הרשות בקשר לכניסתם לישראל או יציאתם מישראל של כלי טיס או לנוסע בהם. תכלית ההוראה היא התאמת החוק להתחייבויות בין-לאומיות של מדינת ישראל בקשר עם מתן שירותים לנוסעים בנמלי התעופה הבין-לאומיים. </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 xml:space="preserve">בהתאם לסעיפים 5(א) ו-5(ב) לחוק </w:t>
      </w:r>
      <w:r w:rsidRPr="00A30CCD">
        <w:rPr>
          <w:rFonts w:ascii="David" w:hAnsi="David"/>
          <w:noProof w:val="0"/>
          <w:sz w:val="26"/>
          <w:szCs w:val="26"/>
          <w:rtl/>
        </w:rPr>
        <w:t xml:space="preserve">רשות שדות התעופה, </w:t>
      </w:r>
      <w:r>
        <w:rPr>
          <w:rFonts w:ascii="David" w:hAnsi="David" w:hint="cs"/>
          <w:noProof w:val="0"/>
          <w:sz w:val="26"/>
          <w:szCs w:val="26"/>
          <w:rtl/>
        </w:rPr>
        <w:t>ה</w:t>
      </w:r>
      <w:r w:rsidRPr="00A30CCD">
        <w:rPr>
          <w:rFonts w:ascii="David" w:hAnsi="David"/>
          <w:noProof w:val="0"/>
          <w:sz w:val="26"/>
          <w:szCs w:val="26"/>
          <w:rtl/>
        </w:rPr>
        <w:t>תשל"ז-1977</w:t>
      </w:r>
      <w:r>
        <w:rPr>
          <w:rFonts w:ascii="David" w:hAnsi="David" w:hint="cs"/>
          <w:noProof w:val="0"/>
          <w:sz w:val="26"/>
          <w:szCs w:val="26"/>
          <w:rtl/>
        </w:rPr>
        <w:t xml:space="preserve"> (להלן: "</w:t>
      </w:r>
      <w:r w:rsidRPr="00A30CCD">
        <w:rPr>
          <w:rFonts w:ascii="David" w:hAnsi="David" w:hint="cs"/>
          <w:b/>
          <w:bCs/>
          <w:noProof w:val="0"/>
          <w:sz w:val="26"/>
          <w:szCs w:val="26"/>
          <w:rtl/>
        </w:rPr>
        <w:t>חוק רש"ת</w:t>
      </w:r>
      <w:r>
        <w:rPr>
          <w:rFonts w:ascii="David" w:hAnsi="David" w:hint="cs"/>
          <w:noProof w:val="0"/>
          <w:sz w:val="26"/>
          <w:szCs w:val="26"/>
          <w:rtl/>
        </w:rPr>
        <w:t xml:space="preserve">"), על הרשות להחזיק, להפעיל, לפתח ולנהל את שדה התעופה ולתת שירותים </w:t>
      </w:r>
      <w:r>
        <w:rPr>
          <w:rFonts w:ascii="David" w:hAnsi="David" w:hint="cs"/>
          <w:noProof w:val="0"/>
          <w:sz w:val="26"/>
          <w:szCs w:val="26"/>
          <w:rtl/>
        </w:rPr>
        <w:lastRenderedPageBreak/>
        <w:t>נלווים לפעולות אלו אגב מילוי תפקידיה. חובה זו כוללת את שירותי הטרקלין שהם חלק אינטגרלי משירות המסופק בכל נמל תעופה הפועל בהתאם לסטנדרטים בין-לאומיים מקובלים. כהוראה משלימה לחובות אלה, סעיף 31(א) לחוק רש"ת מאפשר לרשות לאצול מסמכויותיה ומחובותיה שבסעיף 5 לחוק רש"ת. המערערת היא שלוחה של הרשות ונכנסה לנעליה ולפי הפרשנות הנכונה והתכליתית של סעיף 30(א)(6) לחוק, יש להעניק לשירותים שניתנים על ידי המערערת הטבה בדמות חיוב במס בשיעור אפס.</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 xml:space="preserve">סעיף 30(א)(6) לחוק אינו דורש שהשירותים יהיו נחוצים ליציאה מישראל והוא אינו דורש שהשירותים יהיו כאלה </w:t>
      </w:r>
      <w:r w:rsidR="00110BA2">
        <w:rPr>
          <w:rFonts w:ascii="David" w:hAnsi="David" w:hint="cs"/>
          <w:noProof w:val="0"/>
          <w:sz w:val="26"/>
          <w:szCs w:val="26"/>
          <w:rtl/>
        </w:rPr>
        <w:t>ש</w:t>
      </w:r>
      <w:r>
        <w:rPr>
          <w:rFonts w:ascii="David" w:hAnsi="David" w:hint="cs"/>
          <w:noProof w:val="0"/>
          <w:sz w:val="26"/>
          <w:szCs w:val="26"/>
          <w:rtl/>
        </w:rPr>
        <w:t>בגינם הרשות רשאית לגבות אגרות.</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הפרשנות הנ"ל אף קיבלה את אישור המחלקה המקצועית ברשויות מע"מ, שהביעה עמדה זו בכנסים מקצועיים ובהחלטת מיסוי מיום 16.2.2021 שניתנה ביחס לעוסק אחר עם פעילות זהה (להלן: "</w:t>
      </w:r>
      <w:r w:rsidRPr="00502C6E">
        <w:rPr>
          <w:rFonts w:ascii="David" w:hAnsi="David" w:hint="cs"/>
          <w:b/>
          <w:bCs/>
          <w:noProof w:val="0"/>
          <w:sz w:val="26"/>
          <w:szCs w:val="26"/>
          <w:rtl/>
        </w:rPr>
        <w:t>הרולינג</w:t>
      </w:r>
      <w:r>
        <w:rPr>
          <w:rFonts w:ascii="David" w:hAnsi="David" w:hint="cs"/>
          <w:noProof w:val="0"/>
          <w:sz w:val="26"/>
          <w:szCs w:val="26"/>
          <w:rtl/>
        </w:rPr>
        <w:t>"). במסגרת הרולינג נקבע במפורש כי יש לראות בעוסק כגון המערערת כזרועה הארוכה של הרשות ולהחיל על שירותיו מע"מ בשיעור אפס. המשיב לא הזכיר ולו במילה את דבר קיומו של הרולינג בכתב התשובה שהגיש ביום 1.7.2021 והוא הסתיר את קיומו מבית המשפט. אכן, הרולינג בוטל בהמשך, אך ביטול הרולינג נעשה באופן שרירותי, בניגוד לעקרון הסופיות של החלטות מיסוי ושלא בהתאם להליך לביטול החלטות מיסוי.</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לחלופין, יש להחיל על המערערת את הוראות סעיף 30(א)(10) לחוק שקובע מס בשיעור אפס על "</w:t>
      </w:r>
      <w:r w:rsidRPr="00A96E32">
        <w:rPr>
          <w:rFonts w:ascii="David" w:hAnsi="David"/>
          <w:b/>
          <w:bCs/>
          <w:noProof w:val="0"/>
          <w:sz w:val="26"/>
          <w:szCs w:val="26"/>
          <w:rtl/>
        </w:rPr>
        <w:t>מכירת זכות לנסיעת חוץ</w:t>
      </w:r>
      <w:r>
        <w:rPr>
          <w:rFonts w:ascii="David" w:hAnsi="David" w:hint="cs"/>
          <w:noProof w:val="0"/>
          <w:sz w:val="26"/>
          <w:szCs w:val="26"/>
          <w:rtl/>
        </w:rPr>
        <w:t>". זכות הכניסה לטרקלינים מגולמת בתשלום שגובות חברות התעופה הזרות עבור כרטיסי הטיסה במחלקות היוקרה. ההטבה לפי סעיף 30(א)(10) לחוק אינה מותנית בקיום עסק של מכירת כרטיסי טיסה, אלא ניתנת לגבי "זכות לנסיעת חוץ". כל שירות נלווה שניתן במסגרת הטיסה נכלל גם הוא בגדר הסעיף. חבות מע"מ בשיעור מלא על השירותים שנותנת המערערת תיצור אפליה חמורה מול חברות תעופה המספקות שירותים דומים באופן ישיר ונהנות ממע"מ בשיעור אפס, דוגמת חברה ישראלית שמפעילה טרקלין משלה עבור נוסעי מחלקות היוקרה שלה.</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לחלופי חילופין, יש לראות בזכות להשתמש בטרקלינים כ"</w:t>
      </w:r>
      <w:r w:rsidRPr="008F5187">
        <w:rPr>
          <w:rFonts w:ascii="David" w:hAnsi="David" w:hint="cs"/>
          <w:b/>
          <w:bCs/>
          <w:noProof w:val="0"/>
          <w:sz w:val="26"/>
          <w:szCs w:val="26"/>
          <w:rtl/>
        </w:rPr>
        <w:t>מכירת נכס בלתי מוחשי לתושב חוץ</w:t>
      </w:r>
      <w:r>
        <w:rPr>
          <w:rFonts w:ascii="David" w:hAnsi="David" w:hint="cs"/>
          <w:noProof w:val="0"/>
          <w:sz w:val="26"/>
          <w:szCs w:val="26"/>
          <w:rtl/>
        </w:rPr>
        <w:t>" החייבת בשיעור מס אפס לפי סעיף 30(א)(2) לחוק. מתן זכות לשימוש בטרקלינים הוא בבחינת "מכר", כהגדרתו בסעיף 1 לחוק; המכר הוא של "נכס בלתי מוחשי" הכלול בגדר "טובין" בחוק; והזכות החוזית נמכרת ללקוחות השונים של המערערת, בעיקר חברות תעופה ומועדוני לקוחות זרים שהם "תושבי חוץ".</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lastRenderedPageBreak/>
        <w:t xml:space="preserve">המערערת מוסיפה וטוענת כי יש לבטל את קביעות המשיב ביחס לשומת התשומות. המערערת השתמשה ברכבים לצורך מתן שירותי האירוח (לשם הובלת ציוד וסחורה לטרקלינים וכדומה) ובגין השימוש ברכבים לצורך העסק ניכתה המערערת את מס התשומות. זאת, בהתאם לעיקרון הבסיסי שבסעיף 38(א) לחוק לפיו עוסק זכאי לנכות מהמס שהוא חייב בו את מס התשומות. יש להבחין בין נסיבות </w:t>
      </w:r>
      <w:r w:rsidRPr="004B203C">
        <w:rPr>
          <w:rFonts w:ascii="David" w:hAnsi="David"/>
          <w:noProof w:val="0"/>
          <w:sz w:val="26"/>
          <w:szCs w:val="26"/>
          <w:rtl/>
        </w:rPr>
        <w:t xml:space="preserve">ע"מ (מחוזי </w:t>
      </w:r>
      <w:r>
        <w:rPr>
          <w:rFonts w:ascii="David" w:hAnsi="David" w:hint="cs"/>
          <w:noProof w:val="0"/>
          <w:sz w:val="26"/>
          <w:szCs w:val="26"/>
          <w:rtl/>
        </w:rPr>
        <w:t>ת"א</w:t>
      </w:r>
      <w:r w:rsidRPr="004B203C">
        <w:rPr>
          <w:rFonts w:ascii="David" w:hAnsi="David"/>
          <w:noProof w:val="0"/>
          <w:sz w:val="26"/>
          <w:szCs w:val="26"/>
          <w:rtl/>
        </w:rPr>
        <w:t xml:space="preserve">) 9652-01-17 </w:t>
      </w:r>
      <w:r w:rsidRPr="004B203C">
        <w:rPr>
          <w:rFonts w:ascii="David" w:hAnsi="David"/>
          <w:b/>
          <w:bCs/>
          <w:noProof w:val="0"/>
          <w:sz w:val="26"/>
          <w:szCs w:val="26"/>
          <w:rtl/>
        </w:rPr>
        <w:t>בטחון שרותים אבידר בע"מ נ' מנהל מע"מ ת"א 3</w:t>
      </w:r>
      <w:r w:rsidRPr="004B203C">
        <w:rPr>
          <w:rFonts w:ascii="David" w:hAnsi="David"/>
          <w:noProof w:val="0"/>
          <w:sz w:val="26"/>
          <w:szCs w:val="26"/>
          <w:rtl/>
        </w:rPr>
        <w:t xml:space="preserve"> (</w:t>
      </w:r>
      <w:r>
        <w:rPr>
          <w:rFonts w:ascii="David" w:hAnsi="David"/>
          <w:noProof w:val="0"/>
          <w:sz w:val="26"/>
          <w:szCs w:val="26"/>
          <w:rtl/>
        </w:rPr>
        <w:t>25.</w:t>
      </w:r>
      <w:r w:rsidRPr="004B203C">
        <w:rPr>
          <w:rFonts w:ascii="David" w:hAnsi="David"/>
          <w:noProof w:val="0"/>
          <w:sz w:val="26"/>
          <w:szCs w:val="26"/>
          <w:rtl/>
        </w:rPr>
        <w:t>9.2019)</w:t>
      </w:r>
      <w:r>
        <w:rPr>
          <w:rFonts w:ascii="David" w:hAnsi="David" w:hint="cs"/>
          <w:noProof w:val="0"/>
          <w:sz w:val="26"/>
          <w:szCs w:val="26"/>
          <w:rtl/>
        </w:rPr>
        <w:t xml:space="preserve"> (להלן: "עניין </w:t>
      </w:r>
      <w:r w:rsidRPr="004B203C">
        <w:rPr>
          <w:rFonts w:ascii="David" w:hAnsi="David" w:hint="cs"/>
          <w:b/>
          <w:bCs/>
          <w:noProof w:val="0"/>
          <w:sz w:val="26"/>
          <w:szCs w:val="26"/>
          <w:rtl/>
        </w:rPr>
        <w:t>אבידר</w:t>
      </w:r>
      <w:r>
        <w:rPr>
          <w:rFonts w:ascii="David" w:hAnsi="David" w:hint="cs"/>
          <w:noProof w:val="0"/>
          <w:sz w:val="26"/>
          <w:szCs w:val="26"/>
          <w:rtl/>
        </w:rPr>
        <w:t xml:space="preserve">") ובין ענייננו. בעניין </w:t>
      </w:r>
      <w:r w:rsidRPr="00011F78">
        <w:rPr>
          <w:rFonts w:ascii="David" w:hAnsi="David" w:hint="cs"/>
          <w:b/>
          <w:bCs/>
          <w:noProof w:val="0"/>
          <w:sz w:val="26"/>
          <w:szCs w:val="26"/>
          <w:rtl/>
        </w:rPr>
        <w:t>אבידר</w:t>
      </w:r>
      <w:r>
        <w:rPr>
          <w:rFonts w:ascii="David" w:hAnsi="David" w:hint="cs"/>
          <w:noProof w:val="0"/>
          <w:sz w:val="26"/>
          <w:szCs w:val="26"/>
          <w:rtl/>
        </w:rPr>
        <w:t xml:space="preserve"> לא כל הרכבים נותרו סגורים באתר העבודה; לא כל הרכבים שימשו בעסק; וחלק מהרכבים הוצמדו לאנשים ספציפיים. זאת, בניגוד לענייננו בו רכבי המערערת מעולם לא יצאו את נתב"ג, אפילו לא לצורך תדלוק; נעשה בהם שימוש עסקי בלבד; והם לא הוצמדו לעובדים ספציפיים. כמו כן, בהתאם לכללי הרשות, המערערת אינה יכולה להכניס רכבים מסחריים גדולים לשטח התפעולי של נתב"ג. המערערת נענשת על כך שהיא נשמעת לכללי הרשות. יש לפרש באופן תכליתי את הוראת תקנה 14 לתקנות.</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עוד טוענת המערערת לכשלים משמעותיים וחריגים והפרת כללי המנהל התקין בדרך קבלת ההחלטה בהשגת המערערת. כך, החלטת המשיב בהשגה ניתנה בחופזה וביום האחרון האפשרי כדי לחמוק ממחסום ההתיישנות; היא לא בוססה על תשתית עובדתית מתאימה ומבלי שהמנהל ביקר בטרקלינים; היא ניתנה ללא היוועצות עם המחלקה המקצועית, שהייתה מתחייבת בנסיבות העניין; והיא ניתנה תוך דחייה קטגורית ובלתי מבוססת של טענות המערערת.</w:t>
      </w:r>
    </w:p>
    <w:p w:rsidR="00112166" w:rsidRPr="005C62AE" w:rsidRDefault="00112166" w:rsidP="0011216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המערערת הגישה גם סיכומי תשובה מטעמה, בה חזרה על עיקרי הדברים והגיבה לטענות המשיב.</w:t>
      </w:r>
    </w:p>
    <w:p w:rsidR="00112166" w:rsidRPr="003D024E" w:rsidRDefault="00112166" w:rsidP="00112166">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טענות המשיב בתמצית</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sidRPr="00553311">
        <w:rPr>
          <w:rFonts w:ascii="David" w:hAnsi="David" w:hint="cs"/>
          <w:noProof w:val="0"/>
          <w:sz w:val="26"/>
          <w:szCs w:val="26"/>
          <w:rtl/>
        </w:rPr>
        <w:t xml:space="preserve">המשיב כופר בטענות המערערת. לטענת המשיב, </w:t>
      </w:r>
      <w:r w:rsidRPr="00D52A41">
        <w:rPr>
          <w:rFonts w:ascii="David" w:hAnsi="David"/>
          <w:noProof w:val="0"/>
          <w:sz w:val="26"/>
          <w:szCs w:val="26"/>
          <w:rtl/>
        </w:rPr>
        <w:t>על הטוען להקלה או לפטור ממס מוטל הנטל להוכיח כי ה</w:t>
      </w:r>
      <w:r>
        <w:rPr>
          <w:rFonts w:ascii="David" w:hAnsi="David" w:hint="cs"/>
          <w:noProof w:val="0"/>
          <w:sz w:val="26"/>
          <w:szCs w:val="26"/>
          <w:rtl/>
        </w:rPr>
        <w:t>וא</w:t>
      </w:r>
      <w:r w:rsidRPr="00D52A41">
        <w:rPr>
          <w:rFonts w:ascii="David" w:hAnsi="David"/>
          <w:noProof w:val="0"/>
          <w:sz w:val="26"/>
          <w:szCs w:val="26"/>
          <w:rtl/>
        </w:rPr>
        <w:t xml:space="preserve"> זכאי להקלה או לפטור</w:t>
      </w:r>
      <w:r>
        <w:rPr>
          <w:rFonts w:ascii="David" w:hAnsi="David" w:hint="cs"/>
          <w:noProof w:val="0"/>
          <w:sz w:val="26"/>
          <w:szCs w:val="26"/>
          <w:rtl/>
        </w:rPr>
        <w:t>. המערערת לא עמדה בנטל זה.</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sidRPr="00553311">
        <w:rPr>
          <w:rFonts w:ascii="David" w:hAnsi="David"/>
          <w:noProof w:val="0"/>
          <w:sz w:val="26"/>
          <w:szCs w:val="26"/>
          <w:rtl/>
        </w:rPr>
        <w:t>שירותי המערערת אינם באים בגדרו של סעיף 30</w:t>
      </w:r>
      <w:r w:rsidRPr="00553311">
        <w:rPr>
          <w:rFonts w:ascii="David" w:hAnsi="David" w:hint="cs"/>
          <w:noProof w:val="0"/>
          <w:sz w:val="26"/>
          <w:szCs w:val="26"/>
          <w:rtl/>
        </w:rPr>
        <w:t>(א)(6) לחוק.</w:t>
      </w:r>
      <w:r w:rsidRPr="00553311">
        <w:rPr>
          <w:rtl/>
        </w:rPr>
        <w:t xml:space="preserve"> </w:t>
      </w:r>
      <w:r w:rsidRPr="00553311">
        <w:rPr>
          <w:rFonts w:ascii="David" w:hAnsi="David"/>
          <w:noProof w:val="0"/>
          <w:sz w:val="26"/>
          <w:szCs w:val="26"/>
          <w:rtl/>
        </w:rPr>
        <w:t xml:space="preserve">על פי לשונו של הסעיף, ההקלה מותנית בהתקיימותם של שני תנאים </w:t>
      </w:r>
      <w:r w:rsidRPr="00553311">
        <w:rPr>
          <w:rFonts w:ascii="David" w:hAnsi="David" w:hint="cs"/>
          <w:noProof w:val="0"/>
          <w:sz w:val="26"/>
          <w:szCs w:val="26"/>
          <w:rtl/>
        </w:rPr>
        <w:t>מצטברים</w:t>
      </w:r>
      <w:r w:rsidRPr="00553311">
        <w:rPr>
          <w:rFonts w:ascii="David" w:hAnsi="David"/>
          <w:noProof w:val="0"/>
          <w:sz w:val="26"/>
          <w:szCs w:val="26"/>
          <w:rtl/>
        </w:rPr>
        <w:t xml:space="preserve">: </w:t>
      </w:r>
    </w:p>
    <w:p w:rsidR="00112166" w:rsidRPr="00553311" w:rsidRDefault="00112166" w:rsidP="00112166">
      <w:pPr>
        <w:pStyle w:val="af"/>
        <w:numPr>
          <w:ilvl w:val="1"/>
          <w:numId w:val="1"/>
        </w:numPr>
        <w:spacing w:after="240" w:line="360" w:lineRule="auto"/>
        <w:contextualSpacing w:val="0"/>
        <w:jc w:val="both"/>
        <w:rPr>
          <w:rFonts w:ascii="David" w:hAnsi="David"/>
          <w:noProof w:val="0"/>
          <w:sz w:val="26"/>
          <w:szCs w:val="26"/>
        </w:rPr>
      </w:pPr>
      <w:r w:rsidRPr="00B16FC9">
        <w:rPr>
          <w:rFonts w:ascii="David" w:hAnsi="David"/>
          <w:b/>
          <w:bCs/>
          <w:noProof w:val="0"/>
          <w:sz w:val="26"/>
          <w:szCs w:val="26"/>
          <w:rtl/>
        </w:rPr>
        <w:t>הראשון</w:t>
      </w:r>
      <w:r w:rsidRPr="00553311">
        <w:rPr>
          <w:rFonts w:ascii="David" w:hAnsi="David"/>
          <w:noProof w:val="0"/>
          <w:sz w:val="26"/>
          <w:szCs w:val="26"/>
          <w:rtl/>
        </w:rPr>
        <w:t>,</w:t>
      </w:r>
      <w:r w:rsidRPr="00553311">
        <w:rPr>
          <w:rFonts w:ascii="David" w:hAnsi="David" w:hint="cs"/>
          <w:noProof w:val="0"/>
          <w:sz w:val="26"/>
          <w:szCs w:val="26"/>
          <w:rtl/>
        </w:rPr>
        <w:t xml:space="preserve"> כי </w:t>
      </w:r>
      <w:r w:rsidRPr="00553311">
        <w:rPr>
          <w:rFonts w:ascii="David" w:hAnsi="David"/>
          <w:noProof w:val="0"/>
          <w:sz w:val="26"/>
          <w:szCs w:val="26"/>
          <w:rtl/>
        </w:rPr>
        <w:t xml:space="preserve">השירות לנוסע ניתן באופן בלעדי על ידי </w:t>
      </w:r>
      <w:r w:rsidRPr="00553311">
        <w:rPr>
          <w:rFonts w:ascii="David" w:hAnsi="David" w:hint="cs"/>
          <w:noProof w:val="0"/>
          <w:sz w:val="26"/>
          <w:szCs w:val="26"/>
          <w:rtl/>
        </w:rPr>
        <w:t>הרשות</w:t>
      </w:r>
      <w:r w:rsidRPr="00553311">
        <w:rPr>
          <w:rFonts w:ascii="David" w:hAnsi="David"/>
          <w:noProof w:val="0"/>
          <w:sz w:val="26"/>
          <w:szCs w:val="26"/>
          <w:rtl/>
        </w:rPr>
        <w:t xml:space="preserve"> או חברת נמל כהגדרתה בחוק רשות הספנות והנמלים</w:t>
      </w:r>
      <w:r w:rsidRPr="00553311">
        <w:rPr>
          <w:rFonts w:ascii="David" w:hAnsi="David" w:hint="cs"/>
          <w:noProof w:val="0"/>
          <w:sz w:val="26"/>
          <w:szCs w:val="26"/>
          <w:rtl/>
        </w:rPr>
        <w:t>.</w:t>
      </w:r>
      <w:r w:rsidRPr="00553311">
        <w:rPr>
          <w:rtl/>
        </w:rPr>
        <w:t xml:space="preserve"> </w:t>
      </w:r>
      <w:r w:rsidRPr="00553311">
        <w:rPr>
          <w:rFonts w:ascii="David" w:hAnsi="David"/>
          <w:noProof w:val="0"/>
          <w:sz w:val="26"/>
          <w:szCs w:val="26"/>
          <w:rtl/>
        </w:rPr>
        <w:t xml:space="preserve">אילו המחוקק ביקש להחיל את ההקלה </w:t>
      </w:r>
      <w:r w:rsidRPr="00553311">
        <w:rPr>
          <w:rFonts w:ascii="David" w:hAnsi="David"/>
          <w:noProof w:val="0"/>
          <w:sz w:val="26"/>
          <w:szCs w:val="26"/>
          <w:rtl/>
        </w:rPr>
        <w:lastRenderedPageBreak/>
        <w:t>על שירות שניתן על ידי גוף</w:t>
      </w:r>
      <w:r w:rsidRPr="00553311">
        <w:rPr>
          <w:rFonts w:ascii="David" w:hAnsi="David" w:hint="cs"/>
          <w:noProof w:val="0"/>
          <w:sz w:val="26"/>
          <w:szCs w:val="26"/>
          <w:rtl/>
        </w:rPr>
        <w:t xml:space="preserve"> </w:t>
      </w:r>
      <w:r w:rsidRPr="00553311">
        <w:rPr>
          <w:rFonts w:ascii="David" w:hAnsi="David"/>
          <w:noProof w:val="0"/>
          <w:sz w:val="26"/>
          <w:szCs w:val="26"/>
          <w:rtl/>
        </w:rPr>
        <w:t xml:space="preserve">אחר זולת </w:t>
      </w:r>
      <w:r w:rsidRPr="00553311">
        <w:rPr>
          <w:rFonts w:ascii="David" w:hAnsi="David" w:hint="cs"/>
          <w:noProof w:val="0"/>
          <w:sz w:val="26"/>
          <w:szCs w:val="26"/>
          <w:rtl/>
        </w:rPr>
        <w:t>הרשות</w:t>
      </w:r>
      <w:r w:rsidRPr="00553311">
        <w:rPr>
          <w:rFonts w:ascii="David" w:hAnsi="David"/>
          <w:noProof w:val="0"/>
          <w:sz w:val="26"/>
          <w:szCs w:val="26"/>
          <w:rtl/>
        </w:rPr>
        <w:t xml:space="preserve"> או חברת נמל, הוא היה</w:t>
      </w:r>
      <w:r w:rsidRPr="00553311">
        <w:rPr>
          <w:rFonts w:ascii="David" w:hAnsi="David" w:hint="cs"/>
          <w:noProof w:val="0"/>
          <w:sz w:val="26"/>
          <w:szCs w:val="26"/>
          <w:rtl/>
        </w:rPr>
        <w:t xml:space="preserve"> </w:t>
      </w:r>
      <w:r w:rsidRPr="00553311">
        <w:rPr>
          <w:rFonts w:ascii="David" w:hAnsi="David"/>
          <w:noProof w:val="0"/>
          <w:sz w:val="26"/>
          <w:szCs w:val="26"/>
          <w:rtl/>
        </w:rPr>
        <w:t>מציין זאת במפורש</w:t>
      </w:r>
      <w:r w:rsidRPr="00553311">
        <w:rPr>
          <w:rFonts w:ascii="David" w:hAnsi="David" w:hint="cs"/>
          <w:noProof w:val="0"/>
          <w:sz w:val="26"/>
          <w:szCs w:val="26"/>
          <w:rtl/>
        </w:rPr>
        <w:t>. כך ניתן ללמוד גם מ</w:t>
      </w:r>
      <w:r w:rsidRPr="00553311">
        <w:rPr>
          <w:rFonts w:ascii="David" w:hAnsi="David"/>
          <w:noProof w:val="0"/>
          <w:sz w:val="26"/>
          <w:szCs w:val="26"/>
          <w:rtl/>
        </w:rPr>
        <w:t>השוואת נוסחו של סעיף 30</w:t>
      </w:r>
      <w:r w:rsidRPr="00553311">
        <w:rPr>
          <w:rFonts w:ascii="David" w:hAnsi="David" w:hint="cs"/>
          <w:noProof w:val="0"/>
          <w:sz w:val="26"/>
          <w:szCs w:val="26"/>
          <w:rtl/>
        </w:rPr>
        <w:t xml:space="preserve">(א)(6)(א) </w:t>
      </w:r>
      <w:r w:rsidRPr="00553311">
        <w:rPr>
          <w:rFonts w:ascii="David" w:hAnsi="David"/>
          <w:noProof w:val="0"/>
          <w:sz w:val="26"/>
          <w:szCs w:val="26"/>
          <w:rtl/>
        </w:rPr>
        <w:t>לחוק לנוסחו של סעיף 30</w:t>
      </w:r>
      <w:r w:rsidRPr="00553311">
        <w:rPr>
          <w:rFonts w:ascii="David" w:hAnsi="David" w:hint="cs"/>
          <w:noProof w:val="0"/>
          <w:sz w:val="26"/>
          <w:szCs w:val="26"/>
          <w:rtl/>
        </w:rPr>
        <w:t>(א)(6)(ב)</w:t>
      </w:r>
      <w:r>
        <w:rPr>
          <w:rFonts w:ascii="David" w:hAnsi="David"/>
          <w:noProof w:val="0"/>
          <w:sz w:val="26"/>
          <w:szCs w:val="26"/>
          <w:rtl/>
        </w:rPr>
        <w:t xml:space="preserve"> לחוק</w:t>
      </w:r>
      <w:r>
        <w:rPr>
          <w:rFonts w:ascii="David" w:hAnsi="David" w:hint="cs"/>
          <w:noProof w:val="0"/>
          <w:sz w:val="26"/>
          <w:szCs w:val="26"/>
          <w:rtl/>
        </w:rPr>
        <w:t>.</w:t>
      </w:r>
      <w:r w:rsidRPr="00B16FC9">
        <w:rPr>
          <w:rFonts w:ascii="David" w:hAnsi="David"/>
          <w:noProof w:val="0"/>
          <w:sz w:val="26"/>
          <w:szCs w:val="26"/>
          <w:rtl/>
        </w:rPr>
        <w:t xml:space="preserve"> </w:t>
      </w:r>
      <w:r>
        <w:rPr>
          <w:rFonts w:ascii="David" w:hAnsi="David" w:hint="cs"/>
          <w:noProof w:val="0"/>
          <w:sz w:val="26"/>
          <w:szCs w:val="26"/>
          <w:rtl/>
        </w:rPr>
        <w:t xml:space="preserve">התנאי הראשון אינו מתמלא בענייננו שכן </w:t>
      </w:r>
      <w:r w:rsidRPr="00553311">
        <w:rPr>
          <w:rFonts w:ascii="David" w:hAnsi="David"/>
          <w:noProof w:val="0"/>
          <w:sz w:val="26"/>
          <w:szCs w:val="26"/>
          <w:rtl/>
        </w:rPr>
        <w:t>שירותי האירוח בטרקלינים ניתנו באופן בלעדי על ידי המערערת</w:t>
      </w:r>
      <w:r>
        <w:rPr>
          <w:rFonts w:ascii="David" w:hAnsi="David" w:hint="cs"/>
          <w:noProof w:val="0"/>
          <w:sz w:val="26"/>
          <w:szCs w:val="26"/>
          <w:rtl/>
        </w:rPr>
        <w:t>,</w:t>
      </w:r>
      <w:r w:rsidRPr="00553311">
        <w:rPr>
          <w:rFonts w:ascii="David" w:hAnsi="David"/>
          <w:noProof w:val="0"/>
          <w:sz w:val="26"/>
          <w:szCs w:val="26"/>
          <w:rtl/>
        </w:rPr>
        <w:t xml:space="preserve"> מבלי שזו שימשה שלוחה של </w:t>
      </w:r>
      <w:r w:rsidRPr="00553311">
        <w:rPr>
          <w:rFonts w:ascii="David" w:hAnsi="David" w:hint="cs"/>
          <w:noProof w:val="0"/>
          <w:sz w:val="26"/>
          <w:szCs w:val="26"/>
          <w:rtl/>
        </w:rPr>
        <w:t xml:space="preserve">הרשות </w:t>
      </w:r>
      <w:r w:rsidRPr="00553311">
        <w:rPr>
          <w:rFonts w:ascii="David" w:hAnsi="David"/>
          <w:noProof w:val="0"/>
          <w:sz w:val="26"/>
          <w:szCs w:val="26"/>
          <w:rtl/>
        </w:rPr>
        <w:t>או נכנסה בנעליה</w:t>
      </w:r>
      <w:r w:rsidRPr="00553311">
        <w:rPr>
          <w:rFonts w:ascii="David" w:hAnsi="David" w:hint="cs"/>
          <w:noProof w:val="0"/>
          <w:sz w:val="26"/>
          <w:szCs w:val="26"/>
          <w:rtl/>
        </w:rPr>
        <w:t>.</w:t>
      </w:r>
      <w:r w:rsidRPr="00553311">
        <w:rPr>
          <w:rtl/>
        </w:rPr>
        <w:t xml:space="preserve"> </w:t>
      </w:r>
      <w:r w:rsidRPr="00553311">
        <w:rPr>
          <w:rFonts w:ascii="David" w:hAnsi="David"/>
          <w:noProof w:val="0"/>
          <w:sz w:val="26"/>
          <w:szCs w:val="26"/>
          <w:rtl/>
        </w:rPr>
        <w:t xml:space="preserve">תשלום דמי ההרשאה </w:t>
      </w:r>
      <w:r w:rsidRPr="00553311">
        <w:rPr>
          <w:rFonts w:ascii="David" w:hAnsi="David" w:hint="cs"/>
          <w:noProof w:val="0"/>
          <w:sz w:val="26"/>
          <w:szCs w:val="26"/>
          <w:rtl/>
        </w:rPr>
        <w:t>לרשות</w:t>
      </w:r>
      <w:r w:rsidRPr="00553311">
        <w:rPr>
          <w:rFonts w:ascii="David" w:hAnsi="David"/>
          <w:noProof w:val="0"/>
          <w:sz w:val="26"/>
          <w:szCs w:val="26"/>
          <w:rtl/>
        </w:rPr>
        <w:t xml:space="preserve"> על ידי המערערת, היא לבדה שומטת את הקרקע תחת</w:t>
      </w:r>
      <w:r w:rsidRPr="00553311">
        <w:rPr>
          <w:rFonts w:ascii="David" w:hAnsi="David" w:hint="cs"/>
          <w:noProof w:val="0"/>
          <w:sz w:val="26"/>
          <w:szCs w:val="26"/>
          <w:rtl/>
        </w:rPr>
        <w:t xml:space="preserve"> </w:t>
      </w:r>
      <w:r w:rsidRPr="00553311">
        <w:rPr>
          <w:rFonts w:ascii="David" w:hAnsi="David"/>
          <w:noProof w:val="0"/>
          <w:sz w:val="26"/>
          <w:szCs w:val="26"/>
          <w:rtl/>
        </w:rPr>
        <w:t>טענות המערערת ביחס לקיומם של יחסי שליחות</w:t>
      </w:r>
      <w:r w:rsidRPr="00553311">
        <w:rPr>
          <w:rFonts w:ascii="David" w:hAnsi="David" w:hint="cs"/>
          <w:noProof w:val="0"/>
          <w:sz w:val="26"/>
          <w:szCs w:val="26"/>
          <w:rtl/>
        </w:rPr>
        <w:t>.</w:t>
      </w:r>
    </w:p>
    <w:p w:rsidR="00112166" w:rsidRPr="00D52A41" w:rsidRDefault="00112166" w:rsidP="008704F0">
      <w:pPr>
        <w:pStyle w:val="af"/>
        <w:numPr>
          <w:ilvl w:val="1"/>
          <w:numId w:val="1"/>
        </w:numPr>
        <w:spacing w:after="240" w:line="360" w:lineRule="auto"/>
        <w:contextualSpacing w:val="0"/>
        <w:jc w:val="both"/>
        <w:rPr>
          <w:rFonts w:ascii="David" w:hAnsi="David"/>
          <w:noProof w:val="0"/>
          <w:sz w:val="26"/>
          <w:szCs w:val="26"/>
        </w:rPr>
      </w:pPr>
      <w:r w:rsidRPr="00C73EFF">
        <w:rPr>
          <w:rFonts w:ascii="David" w:hAnsi="David"/>
          <w:b/>
          <w:bCs/>
          <w:noProof w:val="0"/>
          <w:sz w:val="26"/>
          <w:szCs w:val="26"/>
          <w:rtl/>
        </w:rPr>
        <w:t>השני</w:t>
      </w:r>
      <w:r w:rsidRPr="00C73EFF">
        <w:rPr>
          <w:rFonts w:ascii="David" w:hAnsi="David" w:hint="cs"/>
          <w:noProof w:val="0"/>
          <w:sz w:val="26"/>
          <w:szCs w:val="26"/>
          <w:rtl/>
        </w:rPr>
        <w:t>,</w:t>
      </w:r>
      <w:r w:rsidRPr="00C73EFF">
        <w:rPr>
          <w:rFonts w:ascii="David" w:hAnsi="David"/>
          <w:noProof w:val="0"/>
          <w:sz w:val="26"/>
          <w:szCs w:val="26"/>
          <w:rtl/>
        </w:rPr>
        <w:t xml:space="preserve"> כי השירות לנוסע </w:t>
      </w:r>
      <w:r w:rsidRPr="00C73EFF">
        <w:rPr>
          <w:rFonts w:ascii="David" w:hAnsi="David" w:hint="cs"/>
          <w:noProof w:val="0"/>
          <w:sz w:val="26"/>
          <w:szCs w:val="26"/>
          <w:rtl/>
        </w:rPr>
        <w:t xml:space="preserve">הוא </w:t>
      </w:r>
      <w:r w:rsidRPr="00C73EFF">
        <w:rPr>
          <w:rFonts w:ascii="David" w:hAnsi="David"/>
          <w:noProof w:val="0"/>
          <w:sz w:val="26"/>
          <w:szCs w:val="26"/>
          <w:rtl/>
        </w:rPr>
        <w:t>נחוץ וחיוני לתהליך היציאה או הכניסה</w:t>
      </w:r>
      <w:r w:rsidRPr="00C73EFF">
        <w:rPr>
          <w:rFonts w:ascii="David" w:hAnsi="David" w:hint="cs"/>
          <w:noProof w:val="0"/>
          <w:sz w:val="26"/>
          <w:szCs w:val="26"/>
          <w:rtl/>
        </w:rPr>
        <w:t xml:space="preserve"> לישראל.</w:t>
      </w:r>
      <w:r w:rsidRPr="00553311">
        <w:rPr>
          <w:rtl/>
        </w:rPr>
        <w:t xml:space="preserve"> </w:t>
      </w:r>
      <w:r w:rsidRPr="00C73EFF">
        <w:rPr>
          <w:rFonts w:ascii="David" w:hAnsi="David"/>
          <w:noProof w:val="0"/>
          <w:sz w:val="26"/>
          <w:szCs w:val="26"/>
          <w:rtl/>
        </w:rPr>
        <w:t>פרשנות זו מתבקשת</w:t>
      </w:r>
      <w:r>
        <w:rPr>
          <w:rFonts w:ascii="David" w:hAnsi="David" w:hint="cs"/>
          <w:noProof w:val="0"/>
          <w:sz w:val="26"/>
          <w:szCs w:val="26"/>
          <w:rtl/>
        </w:rPr>
        <w:t>,</w:t>
      </w:r>
      <w:r w:rsidRPr="00C73EFF">
        <w:rPr>
          <w:rFonts w:ascii="David" w:hAnsi="David"/>
          <w:noProof w:val="0"/>
          <w:sz w:val="26"/>
          <w:szCs w:val="26"/>
          <w:rtl/>
        </w:rPr>
        <w:t xml:space="preserve"> שאחרת כל שירות י</w:t>
      </w:r>
      <w:r>
        <w:rPr>
          <w:rFonts w:ascii="David" w:hAnsi="David" w:hint="cs"/>
          <w:noProof w:val="0"/>
          <w:sz w:val="26"/>
          <w:szCs w:val="26"/>
          <w:rtl/>
        </w:rPr>
        <w:t>כול לה</w:t>
      </w:r>
      <w:r w:rsidRPr="00C73EFF">
        <w:rPr>
          <w:rFonts w:ascii="David" w:hAnsi="David"/>
          <w:noProof w:val="0"/>
          <w:sz w:val="26"/>
          <w:szCs w:val="26"/>
          <w:rtl/>
        </w:rPr>
        <w:t>יחשב כשירות "בקשר</w:t>
      </w:r>
      <w:r w:rsidRPr="00C73EFF">
        <w:rPr>
          <w:rFonts w:ascii="David" w:hAnsi="David" w:hint="cs"/>
          <w:noProof w:val="0"/>
          <w:sz w:val="26"/>
          <w:szCs w:val="26"/>
          <w:rtl/>
        </w:rPr>
        <w:t>"</w:t>
      </w:r>
      <w:r w:rsidRPr="00C73EFF">
        <w:rPr>
          <w:rFonts w:ascii="David" w:hAnsi="David"/>
          <w:noProof w:val="0"/>
          <w:sz w:val="26"/>
          <w:szCs w:val="26"/>
          <w:rtl/>
        </w:rPr>
        <w:t xml:space="preserve"> </w:t>
      </w:r>
      <w:r w:rsidRPr="00C73EFF">
        <w:rPr>
          <w:rFonts w:ascii="David" w:hAnsi="David" w:hint="cs"/>
          <w:noProof w:val="0"/>
          <w:sz w:val="26"/>
          <w:szCs w:val="26"/>
          <w:rtl/>
        </w:rPr>
        <w:t>לכניסה או ליציאה מישראל, למשל</w:t>
      </w:r>
      <w:r w:rsidRPr="00C73EFF">
        <w:rPr>
          <w:rFonts w:ascii="David" w:hAnsi="David"/>
          <w:noProof w:val="0"/>
          <w:sz w:val="26"/>
          <w:szCs w:val="26"/>
          <w:rtl/>
        </w:rPr>
        <w:t xml:space="preserve"> נסיעה</w:t>
      </w:r>
      <w:r w:rsidRPr="00C73EFF">
        <w:rPr>
          <w:rFonts w:ascii="David" w:hAnsi="David" w:hint="cs"/>
          <w:noProof w:val="0"/>
          <w:sz w:val="26"/>
          <w:szCs w:val="26"/>
          <w:rtl/>
        </w:rPr>
        <w:t xml:space="preserve"> </w:t>
      </w:r>
      <w:r w:rsidRPr="00C73EFF">
        <w:rPr>
          <w:rFonts w:ascii="David" w:hAnsi="David"/>
          <w:noProof w:val="0"/>
          <w:sz w:val="26"/>
          <w:szCs w:val="26"/>
          <w:rtl/>
        </w:rPr>
        <w:t xml:space="preserve">במונית </w:t>
      </w:r>
      <w:r w:rsidRPr="00C73EFF">
        <w:rPr>
          <w:rFonts w:ascii="David" w:hAnsi="David" w:hint="cs"/>
          <w:noProof w:val="0"/>
          <w:sz w:val="26"/>
          <w:szCs w:val="26"/>
          <w:rtl/>
        </w:rPr>
        <w:t xml:space="preserve">אל </w:t>
      </w:r>
      <w:r>
        <w:rPr>
          <w:rFonts w:ascii="David" w:hAnsi="David" w:hint="cs"/>
          <w:noProof w:val="0"/>
          <w:sz w:val="26"/>
          <w:szCs w:val="26"/>
          <w:rtl/>
        </w:rPr>
        <w:t>או מנתב"ג</w:t>
      </w:r>
      <w:r w:rsidRPr="00C73EFF">
        <w:rPr>
          <w:rFonts w:ascii="David" w:hAnsi="David"/>
          <w:noProof w:val="0"/>
          <w:sz w:val="26"/>
          <w:szCs w:val="26"/>
          <w:rtl/>
        </w:rPr>
        <w:t>, צפי</w:t>
      </w:r>
      <w:r w:rsidRPr="00C73EFF">
        <w:rPr>
          <w:rFonts w:ascii="David" w:hAnsi="David" w:hint="cs"/>
          <w:noProof w:val="0"/>
          <w:sz w:val="26"/>
          <w:szCs w:val="26"/>
          <w:rtl/>
        </w:rPr>
        <w:t>י</w:t>
      </w:r>
      <w:r w:rsidRPr="00C73EFF">
        <w:rPr>
          <w:rFonts w:ascii="David" w:hAnsi="David"/>
          <w:noProof w:val="0"/>
          <w:sz w:val="26"/>
          <w:szCs w:val="26"/>
          <w:rtl/>
        </w:rPr>
        <w:t xml:space="preserve">ה בסרט בקולנוע </w:t>
      </w:r>
      <w:r>
        <w:rPr>
          <w:rFonts w:ascii="David" w:hAnsi="David" w:hint="cs"/>
          <w:noProof w:val="0"/>
          <w:sz w:val="26"/>
          <w:szCs w:val="26"/>
          <w:rtl/>
        </w:rPr>
        <w:t>בנתב"ג</w:t>
      </w:r>
      <w:r w:rsidRPr="00C73EFF">
        <w:rPr>
          <w:rFonts w:ascii="David" w:hAnsi="David"/>
          <w:noProof w:val="0"/>
          <w:sz w:val="26"/>
          <w:szCs w:val="26"/>
          <w:rtl/>
        </w:rPr>
        <w:t xml:space="preserve"> </w:t>
      </w:r>
      <w:r>
        <w:rPr>
          <w:rFonts w:ascii="David" w:hAnsi="David" w:hint="cs"/>
          <w:noProof w:val="0"/>
          <w:sz w:val="26"/>
          <w:szCs w:val="26"/>
          <w:rtl/>
        </w:rPr>
        <w:t>וכדומה</w:t>
      </w:r>
      <w:r w:rsidRPr="00C73EFF">
        <w:rPr>
          <w:rFonts w:ascii="David" w:hAnsi="David"/>
          <w:noProof w:val="0"/>
          <w:sz w:val="26"/>
          <w:szCs w:val="26"/>
          <w:rtl/>
        </w:rPr>
        <w:t>.</w:t>
      </w:r>
      <w:r w:rsidRPr="00C73EFF">
        <w:rPr>
          <w:rFonts w:ascii="David" w:hAnsi="David" w:hint="cs"/>
          <w:noProof w:val="0"/>
          <w:sz w:val="26"/>
          <w:szCs w:val="26"/>
          <w:rtl/>
        </w:rPr>
        <w:t xml:space="preserve"> </w:t>
      </w:r>
      <w:r w:rsidRPr="00C73EFF">
        <w:rPr>
          <w:rFonts w:ascii="David" w:hAnsi="David"/>
          <w:noProof w:val="0"/>
          <w:sz w:val="26"/>
          <w:szCs w:val="26"/>
          <w:rtl/>
        </w:rPr>
        <w:t xml:space="preserve">ההיסטוריה החקיקתית של </w:t>
      </w:r>
      <w:r w:rsidRPr="00C73EFF">
        <w:rPr>
          <w:rFonts w:ascii="David" w:hAnsi="David" w:hint="cs"/>
          <w:noProof w:val="0"/>
          <w:sz w:val="26"/>
          <w:szCs w:val="26"/>
          <w:rtl/>
        </w:rPr>
        <w:t>הסעיף</w:t>
      </w:r>
      <w:r w:rsidRPr="00C73EFF">
        <w:rPr>
          <w:rFonts w:ascii="David" w:hAnsi="David"/>
          <w:noProof w:val="0"/>
          <w:sz w:val="26"/>
          <w:szCs w:val="26"/>
          <w:rtl/>
        </w:rPr>
        <w:t xml:space="preserve"> תומכת אף היא ב</w:t>
      </w:r>
      <w:r>
        <w:rPr>
          <w:rFonts w:ascii="David" w:hAnsi="David" w:hint="cs"/>
          <w:noProof w:val="0"/>
          <w:sz w:val="26"/>
          <w:szCs w:val="26"/>
          <w:rtl/>
        </w:rPr>
        <w:t>פרשנות זו</w:t>
      </w:r>
      <w:r w:rsidRPr="00C73EFF">
        <w:rPr>
          <w:rFonts w:ascii="David" w:hAnsi="David" w:hint="cs"/>
          <w:noProof w:val="0"/>
          <w:sz w:val="26"/>
          <w:szCs w:val="26"/>
          <w:rtl/>
        </w:rPr>
        <w:t xml:space="preserve">. לפיכך, גם התנאי השני אינו מתקיים בענייננו, שכן </w:t>
      </w:r>
      <w:r>
        <w:rPr>
          <w:rFonts w:ascii="David" w:hAnsi="David" w:hint="cs"/>
          <w:noProof w:val="0"/>
          <w:sz w:val="26"/>
          <w:szCs w:val="26"/>
          <w:rtl/>
        </w:rPr>
        <w:t>אין חולק ש</w:t>
      </w:r>
      <w:r w:rsidRPr="00C73EFF">
        <w:rPr>
          <w:rFonts w:ascii="David" w:hAnsi="David"/>
          <w:noProof w:val="0"/>
          <w:sz w:val="26"/>
          <w:szCs w:val="26"/>
          <w:rtl/>
        </w:rPr>
        <w:t xml:space="preserve">שירותי האירוח אינם </w:t>
      </w:r>
      <w:r w:rsidRPr="00C73EFF">
        <w:rPr>
          <w:rFonts w:ascii="David" w:hAnsi="David" w:hint="cs"/>
          <w:noProof w:val="0"/>
          <w:sz w:val="26"/>
          <w:szCs w:val="26"/>
          <w:rtl/>
        </w:rPr>
        <w:t xml:space="preserve">נחוצים לצורך הכניסה או היציאה מישראל. למעשה, </w:t>
      </w:r>
      <w:r w:rsidRPr="00C73EFF">
        <w:rPr>
          <w:rFonts w:ascii="David" w:hAnsi="David"/>
          <w:noProof w:val="0"/>
          <w:sz w:val="26"/>
          <w:szCs w:val="26"/>
          <w:rtl/>
        </w:rPr>
        <w:t xml:space="preserve">אין הבדל מהותי בין השירות שמעניקה המערערת ובין </w:t>
      </w:r>
      <w:r>
        <w:rPr>
          <w:rFonts w:ascii="David" w:hAnsi="David" w:hint="cs"/>
          <w:noProof w:val="0"/>
          <w:sz w:val="26"/>
          <w:szCs w:val="26"/>
          <w:rtl/>
        </w:rPr>
        <w:t>ה</w:t>
      </w:r>
      <w:r>
        <w:rPr>
          <w:rFonts w:ascii="David" w:hAnsi="David"/>
          <w:noProof w:val="0"/>
          <w:sz w:val="26"/>
          <w:szCs w:val="26"/>
          <w:rtl/>
        </w:rPr>
        <w:t>שירות</w:t>
      </w:r>
      <w:r w:rsidRPr="00C73EFF">
        <w:rPr>
          <w:rFonts w:ascii="David" w:hAnsi="David"/>
          <w:noProof w:val="0"/>
          <w:sz w:val="26"/>
          <w:szCs w:val="26"/>
          <w:rtl/>
        </w:rPr>
        <w:t xml:space="preserve"> </w:t>
      </w:r>
      <w:r>
        <w:rPr>
          <w:rFonts w:ascii="David" w:hAnsi="David" w:hint="cs"/>
          <w:noProof w:val="0"/>
          <w:sz w:val="26"/>
          <w:szCs w:val="26"/>
          <w:rtl/>
        </w:rPr>
        <w:t>ש</w:t>
      </w:r>
      <w:r w:rsidRPr="00C73EFF">
        <w:rPr>
          <w:rFonts w:ascii="David" w:hAnsi="David"/>
          <w:noProof w:val="0"/>
          <w:sz w:val="26"/>
          <w:szCs w:val="26"/>
          <w:rtl/>
        </w:rPr>
        <w:t xml:space="preserve">מעניקים </w:t>
      </w:r>
      <w:r>
        <w:rPr>
          <w:rFonts w:ascii="David" w:hAnsi="David"/>
          <w:noProof w:val="0"/>
          <w:sz w:val="26"/>
          <w:szCs w:val="26"/>
          <w:rtl/>
        </w:rPr>
        <w:t>עסקי</w:t>
      </w:r>
      <w:r w:rsidRPr="00C73EFF">
        <w:rPr>
          <w:rFonts w:ascii="David" w:hAnsi="David"/>
          <w:noProof w:val="0"/>
          <w:sz w:val="26"/>
          <w:szCs w:val="26"/>
          <w:rtl/>
        </w:rPr>
        <w:t xml:space="preserve"> הסעדה ואירוח </w:t>
      </w:r>
      <w:r>
        <w:rPr>
          <w:rFonts w:ascii="David" w:hAnsi="David" w:hint="cs"/>
          <w:noProof w:val="0"/>
          <w:sz w:val="26"/>
          <w:szCs w:val="26"/>
          <w:rtl/>
        </w:rPr>
        <w:t>אחרי</w:t>
      </w:r>
      <w:r w:rsidRPr="00C73EFF">
        <w:rPr>
          <w:rFonts w:ascii="David" w:hAnsi="David"/>
          <w:noProof w:val="0"/>
          <w:sz w:val="26"/>
          <w:szCs w:val="26"/>
          <w:rtl/>
        </w:rPr>
        <w:t xml:space="preserve">ם </w:t>
      </w:r>
      <w:r>
        <w:rPr>
          <w:rFonts w:ascii="David" w:hAnsi="David" w:hint="cs"/>
          <w:noProof w:val="0"/>
          <w:sz w:val="26"/>
          <w:szCs w:val="26"/>
          <w:rtl/>
        </w:rPr>
        <w:t>ב</w:t>
      </w:r>
      <w:r w:rsidRPr="00C73EFF">
        <w:rPr>
          <w:rFonts w:ascii="David" w:hAnsi="David" w:hint="cs"/>
          <w:noProof w:val="0"/>
          <w:sz w:val="26"/>
          <w:szCs w:val="26"/>
          <w:rtl/>
        </w:rPr>
        <w:t>נתב"ג</w:t>
      </w:r>
      <w:r>
        <w:rPr>
          <w:rFonts w:ascii="David" w:hAnsi="David" w:hint="cs"/>
          <w:noProof w:val="0"/>
          <w:sz w:val="26"/>
          <w:szCs w:val="26"/>
          <w:rtl/>
        </w:rPr>
        <w:t>, שאינם נהנים ממע"מ בשיעור אפס</w:t>
      </w:r>
      <w:r w:rsidRPr="00C73EFF">
        <w:rPr>
          <w:rFonts w:ascii="David" w:hAnsi="David" w:hint="cs"/>
          <w:noProof w:val="0"/>
          <w:sz w:val="26"/>
          <w:szCs w:val="26"/>
          <w:rtl/>
        </w:rPr>
        <w:t xml:space="preserve">. </w:t>
      </w:r>
      <w:r w:rsidRPr="00C73EFF">
        <w:rPr>
          <w:rFonts w:ascii="David" w:hAnsi="David"/>
          <w:noProof w:val="0"/>
          <w:sz w:val="26"/>
          <w:szCs w:val="26"/>
          <w:rtl/>
        </w:rPr>
        <w:t>קבלת עמדת המערערת תביא בהכרח</w:t>
      </w:r>
      <w:r>
        <w:rPr>
          <w:rFonts w:ascii="David" w:hAnsi="David"/>
          <w:noProof w:val="0"/>
          <w:sz w:val="26"/>
          <w:szCs w:val="26"/>
          <w:rtl/>
        </w:rPr>
        <w:t xml:space="preserve"> ל</w:t>
      </w:r>
      <w:r>
        <w:rPr>
          <w:rFonts w:ascii="David" w:hAnsi="David" w:hint="cs"/>
          <w:noProof w:val="0"/>
          <w:sz w:val="26"/>
          <w:szCs w:val="26"/>
          <w:rtl/>
        </w:rPr>
        <w:t>ה</w:t>
      </w:r>
      <w:r>
        <w:rPr>
          <w:rFonts w:ascii="David" w:hAnsi="David"/>
          <w:noProof w:val="0"/>
          <w:sz w:val="26"/>
          <w:szCs w:val="26"/>
          <w:rtl/>
        </w:rPr>
        <w:t>פלייתם של כל אותם בעלי עסקים</w:t>
      </w:r>
      <w:r>
        <w:rPr>
          <w:rFonts w:ascii="David" w:hAnsi="David" w:hint="cs"/>
          <w:noProof w:val="0"/>
          <w:sz w:val="26"/>
          <w:szCs w:val="26"/>
          <w:rtl/>
        </w:rPr>
        <w:t>.</w:t>
      </w:r>
    </w:p>
    <w:p w:rsidR="00112166" w:rsidRPr="005D2053" w:rsidRDefault="00112166" w:rsidP="00761B1C">
      <w:pPr>
        <w:pStyle w:val="af"/>
        <w:numPr>
          <w:ilvl w:val="0"/>
          <w:numId w:val="1"/>
        </w:numPr>
        <w:spacing w:after="240" w:line="360" w:lineRule="auto"/>
        <w:contextualSpacing w:val="0"/>
        <w:jc w:val="both"/>
        <w:rPr>
          <w:rFonts w:ascii="David" w:hAnsi="David"/>
          <w:noProof w:val="0"/>
          <w:sz w:val="26"/>
          <w:szCs w:val="26"/>
        </w:rPr>
      </w:pPr>
      <w:r w:rsidRPr="005D2053">
        <w:rPr>
          <w:rFonts w:ascii="David" w:hAnsi="David"/>
          <w:noProof w:val="0"/>
          <w:sz w:val="26"/>
          <w:szCs w:val="26"/>
          <w:rtl/>
        </w:rPr>
        <w:t xml:space="preserve">המערערת לא מכרה כרטיסי טיסה ולכן אינה זכאית להקלה מכוח סעיף </w:t>
      </w:r>
      <w:r w:rsidRPr="005D2053">
        <w:rPr>
          <w:rFonts w:ascii="David" w:hAnsi="David" w:hint="cs"/>
          <w:noProof w:val="0"/>
          <w:sz w:val="26"/>
          <w:szCs w:val="26"/>
          <w:rtl/>
        </w:rPr>
        <w:t xml:space="preserve">30(א)(10) לחוק. </w:t>
      </w:r>
      <w:r w:rsidRPr="005D2053">
        <w:rPr>
          <w:rFonts w:ascii="David" w:hAnsi="David"/>
          <w:noProof w:val="0"/>
          <w:sz w:val="26"/>
          <w:szCs w:val="26"/>
          <w:rtl/>
        </w:rPr>
        <w:t>לא ניתן לקבל את טענת המערערת כי ההקלה ניתנת לגבי</w:t>
      </w:r>
      <w:r w:rsidRPr="005D2053">
        <w:rPr>
          <w:rFonts w:ascii="David" w:hAnsi="David" w:hint="cs"/>
          <w:noProof w:val="0"/>
          <w:sz w:val="26"/>
          <w:szCs w:val="26"/>
          <w:rtl/>
        </w:rPr>
        <w:t xml:space="preserve"> </w:t>
      </w:r>
      <w:r w:rsidRPr="005D2053">
        <w:rPr>
          <w:rFonts w:ascii="David" w:hAnsi="David"/>
          <w:noProof w:val="0"/>
          <w:sz w:val="26"/>
          <w:szCs w:val="26"/>
          <w:rtl/>
        </w:rPr>
        <w:t>כל ש</w:t>
      </w:r>
      <w:r>
        <w:rPr>
          <w:rFonts w:ascii="David" w:hAnsi="David" w:hint="cs"/>
          <w:noProof w:val="0"/>
          <w:sz w:val="26"/>
          <w:szCs w:val="26"/>
          <w:rtl/>
        </w:rPr>
        <w:t>י</w:t>
      </w:r>
      <w:r w:rsidRPr="005D2053">
        <w:rPr>
          <w:rFonts w:ascii="David" w:hAnsi="David"/>
          <w:noProof w:val="0"/>
          <w:sz w:val="26"/>
          <w:szCs w:val="26"/>
          <w:rtl/>
        </w:rPr>
        <w:t>רות נלווה שניתן במסגרת</w:t>
      </w:r>
      <w:r w:rsidRPr="005D2053">
        <w:rPr>
          <w:rFonts w:ascii="David" w:hAnsi="David" w:hint="cs"/>
          <w:noProof w:val="0"/>
          <w:sz w:val="26"/>
          <w:szCs w:val="26"/>
          <w:rtl/>
        </w:rPr>
        <w:t xml:space="preserve"> </w:t>
      </w:r>
      <w:r>
        <w:rPr>
          <w:rFonts w:ascii="David" w:hAnsi="David"/>
          <w:noProof w:val="0"/>
          <w:sz w:val="26"/>
          <w:szCs w:val="26"/>
          <w:rtl/>
        </w:rPr>
        <w:t>מכירת כרטיס הטיסה</w:t>
      </w:r>
      <w:r w:rsidRPr="005D2053">
        <w:rPr>
          <w:rFonts w:ascii="David" w:hAnsi="David" w:hint="cs"/>
          <w:noProof w:val="0"/>
          <w:sz w:val="26"/>
          <w:szCs w:val="26"/>
          <w:rtl/>
        </w:rPr>
        <w:t xml:space="preserve">. </w:t>
      </w:r>
      <w:r w:rsidRPr="005D2053">
        <w:rPr>
          <w:rFonts w:ascii="David" w:hAnsi="David"/>
          <w:noProof w:val="0"/>
          <w:sz w:val="26"/>
          <w:szCs w:val="26"/>
          <w:rtl/>
        </w:rPr>
        <w:t>למעשה טוענת המערערת, כי ניתן להחיל מס בשיעור</w:t>
      </w:r>
      <w:r w:rsidRPr="005D2053">
        <w:rPr>
          <w:rFonts w:ascii="David" w:hAnsi="David" w:hint="cs"/>
          <w:noProof w:val="0"/>
          <w:sz w:val="26"/>
          <w:szCs w:val="26"/>
          <w:rtl/>
        </w:rPr>
        <w:t xml:space="preserve"> </w:t>
      </w:r>
      <w:r>
        <w:rPr>
          <w:rFonts w:ascii="David" w:hAnsi="David"/>
          <w:noProof w:val="0"/>
          <w:sz w:val="26"/>
          <w:szCs w:val="26"/>
          <w:rtl/>
        </w:rPr>
        <w:t>אפס על כל ש</w:t>
      </w:r>
      <w:r>
        <w:rPr>
          <w:rFonts w:ascii="David" w:hAnsi="David" w:hint="cs"/>
          <w:noProof w:val="0"/>
          <w:sz w:val="26"/>
          <w:szCs w:val="26"/>
          <w:rtl/>
        </w:rPr>
        <w:t>י</w:t>
      </w:r>
      <w:r>
        <w:rPr>
          <w:rFonts w:ascii="David" w:hAnsi="David"/>
          <w:noProof w:val="0"/>
          <w:sz w:val="26"/>
          <w:szCs w:val="26"/>
          <w:rtl/>
        </w:rPr>
        <w:t>רות</w:t>
      </w:r>
      <w:r w:rsidRPr="005D2053">
        <w:rPr>
          <w:rFonts w:ascii="David" w:hAnsi="David"/>
          <w:noProof w:val="0"/>
          <w:sz w:val="26"/>
          <w:szCs w:val="26"/>
          <w:rtl/>
        </w:rPr>
        <w:t xml:space="preserve"> על ידי הכללתו במחיר כרטיס הטיסה, לדוגמה: ארוחה במסעדה או רכישת טובין בדרך לנתב"ג, הסעות ל</w:t>
      </w:r>
      <w:r>
        <w:rPr>
          <w:rFonts w:ascii="David" w:hAnsi="David" w:hint="cs"/>
          <w:noProof w:val="0"/>
          <w:sz w:val="26"/>
          <w:szCs w:val="26"/>
          <w:rtl/>
        </w:rPr>
        <w:t>נתב"ג</w:t>
      </w:r>
      <w:r>
        <w:rPr>
          <w:rFonts w:ascii="David" w:hAnsi="David"/>
          <w:noProof w:val="0"/>
          <w:sz w:val="26"/>
          <w:szCs w:val="26"/>
          <w:rtl/>
        </w:rPr>
        <w:t>, תספורת</w:t>
      </w:r>
      <w:r w:rsidRPr="005D2053">
        <w:rPr>
          <w:rFonts w:ascii="David" w:hAnsi="David"/>
          <w:noProof w:val="0"/>
          <w:sz w:val="26"/>
          <w:szCs w:val="26"/>
          <w:rtl/>
        </w:rPr>
        <w:t xml:space="preserve"> וכ</w:t>
      </w:r>
      <w:r>
        <w:rPr>
          <w:rFonts w:ascii="David" w:hAnsi="David" w:hint="cs"/>
          <w:noProof w:val="0"/>
          <w:sz w:val="26"/>
          <w:szCs w:val="26"/>
          <w:rtl/>
        </w:rPr>
        <w:t>דומה</w:t>
      </w:r>
      <w:r w:rsidRPr="005D2053">
        <w:rPr>
          <w:rFonts w:ascii="David" w:hAnsi="David"/>
          <w:noProof w:val="0"/>
          <w:sz w:val="26"/>
          <w:szCs w:val="26"/>
          <w:rtl/>
        </w:rPr>
        <w:t>. מדובר בהרחבה לא</w:t>
      </w:r>
      <w:r w:rsidRPr="005D2053">
        <w:rPr>
          <w:rFonts w:ascii="David" w:hAnsi="David" w:hint="cs"/>
          <w:noProof w:val="0"/>
          <w:sz w:val="26"/>
          <w:szCs w:val="26"/>
          <w:rtl/>
        </w:rPr>
        <w:t xml:space="preserve"> </w:t>
      </w:r>
      <w:r w:rsidRPr="005D2053">
        <w:rPr>
          <w:rFonts w:ascii="David" w:hAnsi="David"/>
          <w:noProof w:val="0"/>
          <w:sz w:val="26"/>
          <w:szCs w:val="26"/>
          <w:rtl/>
        </w:rPr>
        <w:t xml:space="preserve">ראויה של </w:t>
      </w:r>
      <w:r>
        <w:rPr>
          <w:rFonts w:ascii="David" w:hAnsi="David" w:hint="cs"/>
          <w:noProof w:val="0"/>
          <w:sz w:val="26"/>
          <w:szCs w:val="26"/>
          <w:rtl/>
        </w:rPr>
        <w:t>ההקלה</w:t>
      </w:r>
      <w:r w:rsidRPr="005D2053">
        <w:rPr>
          <w:rFonts w:ascii="David" w:hAnsi="David"/>
          <w:noProof w:val="0"/>
          <w:sz w:val="26"/>
          <w:szCs w:val="26"/>
          <w:rtl/>
        </w:rPr>
        <w:t>, שנועדה למכירת כרטיסי טיסה בלבד</w:t>
      </w:r>
      <w:r w:rsidRPr="005D2053">
        <w:rPr>
          <w:rFonts w:ascii="David" w:hAnsi="David" w:hint="cs"/>
          <w:noProof w:val="0"/>
          <w:sz w:val="26"/>
          <w:szCs w:val="26"/>
          <w:rtl/>
        </w:rPr>
        <w:t>.</w:t>
      </w:r>
      <w:r w:rsidRPr="005D2053">
        <w:rPr>
          <w:rtl/>
        </w:rPr>
        <w:t xml:space="preserve"> </w:t>
      </w:r>
      <w:r w:rsidRPr="005D2053">
        <w:rPr>
          <w:rFonts w:ascii="David" w:hAnsi="David" w:hint="cs"/>
          <w:noProof w:val="0"/>
          <w:sz w:val="26"/>
          <w:szCs w:val="26"/>
          <w:rtl/>
        </w:rPr>
        <w:t xml:space="preserve">זאת ועוד, </w:t>
      </w:r>
      <w:r w:rsidRPr="005D2053">
        <w:rPr>
          <w:rFonts w:ascii="David" w:hAnsi="David"/>
          <w:noProof w:val="0"/>
          <w:sz w:val="26"/>
          <w:szCs w:val="26"/>
          <w:rtl/>
        </w:rPr>
        <w:t xml:space="preserve">חלק מהנוסעים מקבלים את שירותי האירוח של המערערת </w:t>
      </w:r>
      <w:r>
        <w:rPr>
          <w:rFonts w:ascii="David" w:hAnsi="David" w:hint="cs"/>
          <w:noProof w:val="0"/>
          <w:sz w:val="26"/>
          <w:szCs w:val="26"/>
          <w:rtl/>
        </w:rPr>
        <w:t>במסגרת חברותם</w:t>
      </w:r>
      <w:r w:rsidRPr="005D2053">
        <w:rPr>
          <w:rFonts w:ascii="David" w:hAnsi="David" w:hint="cs"/>
          <w:noProof w:val="0"/>
          <w:sz w:val="26"/>
          <w:szCs w:val="26"/>
          <w:rtl/>
        </w:rPr>
        <w:t xml:space="preserve"> </w:t>
      </w:r>
      <w:r>
        <w:rPr>
          <w:rFonts w:ascii="David" w:hAnsi="David" w:hint="cs"/>
          <w:noProof w:val="0"/>
          <w:sz w:val="26"/>
          <w:szCs w:val="26"/>
          <w:rtl/>
        </w:rPr>
        <w:t>ב</w:t>
      </w:r>
      <w:r w:rsidRPr="005D2053">
        <w:rPr>
          <w:rFonts w:ascii="David" w:hAnsi="David" w:hint="cs"/>
          <w:noProof w:val="0"/>
          <w:sz w:val="26"/>
          <w:szCs w:val="26"/>
          <w:rtl/>
        </w:rPr>
        <w:t>מועדוני לקוחות</w:t>
      </w:r>
      <w:r>
        <w:rPr>
          <w:rFonts w:ascii="David" w:hAnsi="David" w:hint="cs"/>
          <w:noProof w:val="0"/>
          <w:sz w:val="26"/>
          <w:szCs w:val="26"/>
          <w:rtl/>
        </w:rPr>
        <w:t xml:space="preserve"> שונים</w:t>
      </w:r>
      <w:r w:rsidRPr="005D2053">
        <w:rPr>
          <w:rFonts w:ascii="David" w:hAnsi="David" w:hint="cs"/>
          <w:noProof w:val="0"/>
          <w:sz w:val="26"/>
          <w:szCs w:val="26"/>
          <w:rtl/>
        </w:rPr>
        <w:t xml:space="preserve"> </w:t>
      </w:r>
      <w:r>
        <w:rPr>
          <w:rFonts w:ascii="David" w:hAnsi="David" w:hint="cs"/>
          <w:noProof w:val="0"/>
          <w:sz w:val="26"/>
          <w:szCs w:val="26"/>
          <w:rtl/>
        </w:rPr>
        <w:t>א</w:t>
      </w:r>
      <w:r w:rsidRPr="005D2053">
        <w:rPr>
          <w:rFonts w:ascii="David" w:hAnsi="David" w:hint="cs"/>
          <w:noProof w:val="0"/>
          <w:sz w:val="26"/>
          <w:szCs w:val="26"/>
          <w:rtl/>
        </w:rPr>
        <w:t>ו</w:t>
      </w:r>
      <w:r>
        <w:rPr>
          <w:rFonts w:ascii="David" w:hAnsi="David" w:hint="cs"/>
          <w:noProof w:val="0"/>
          <w:sz w:val="26"/>
          <w:szCs w:val="26"/>
          <w:rtl/>
        </w:rPr>
        <w:t xml:space="preserve"> החזקתם</w:t>
      </w:r>
      <w:r>
        <w:rPr>
          <w:rFonts w:ascii="David" w:hAnsi="David"/>
          <w:noProof w:val="0"/>
          <w:sz w:val="26"/>
          <w:szCs w:val="26"/>
          <w:rtl/>
        </w:rPr>
        <w:t xml:space="preserve"> </w:t>
      </w:r>
      <w:r>
        <w:rPr>
          <w:rFonts w:ascii="David" w:hAnsi="David" w:hint="cs"/>
          <w:noProof w:val="0"/>
          <w:sz w:val="26"/>
          <w:szCs w:val="26"/>
          <w:rtl/>
        </w:rPr>
        <w:t>ב</w:t>
      </w:r>
      <w:r>
        <w:rPr>
          <w:rFonts w:ascii="David" w:hAnsi="David"/>
          <w:noProof w:val="0"/>
          <w:sz w:val="26"/>
          <w:szCs w:val="26"/>
          <w:rtl/>
        </w:rPr>
        <w:t>כרטיסי אשראי</w:t>
      </w:r>
      <w:r>
        <w:rPr>
          <w:rFonts w:ascii="David" w:hAnsi="David" w:hint="cs"/>
          <w:noProof w:val="0"/>
          <w:sz w:val="26"/>
          <w:szCs w:val="26"/>
          <w:rtl/>
        </w:rPr>
        <w:t xml:space="preserve"> מסוימים</w:t>
      </w:r>
      <w:r w:rsidRPr="005D2053">
        <w:rPr>
          <w:rFonts w:ascii="David" w:hAnsi="David"/>
          <w:noProof w:val="0"/>
          <w:sz w:val="26"/>
          <w:szCs w:val="26"/>
          <w:rtl/>
        </w:rPr>
        <w:t xml:space="preserve">. </w:t>
      </w:r>
      <w:r>
        <w:rPr>
          <w:rFonts w:ascii="David" w:hAnsi="David" w:hint="cs"/>
          <w:noProof w:val="0"/>
          <w:sz w:val="26"/>
          <w:szCs w:val="26"/>
          <w:rtl/>
        </w:rPr>
        <w:t>אותם מועדוני לקוחות וחברות כרטיסי אשראי</w:t>
      </w:r>
      <w:r>
        <w:rPr>
          <w:rFonts w:ascii="David" w:hAnsi="David"/>
          <w:noProof w:val="0"/>
          <w:sz w:val="26"/>
          <w:szCs w:val="26"/>
          <w:rtl/>
        </w:rPr>
        <w:t xml:space="preserve"> אינ</w:t>
      </w:r>
      <w:r>
        <w:rPr>
          <w:rFonts w:ascii="David" w:hAnsi="David" w:hint="cs"/>
          <w:noProof w:val="0"/>
          <w:sz w:val="26"/>
          <w:szCs w:val="26"/>
          <w:rtl/>
        </w:rPr>
        <w:t>ם</w:t>
      </w:r>
      <w:r>
        <w:rPr>
          <w:rFonts w:ascii="David" w:hAnsi="David"/>
          <w:noProof w:val="0"/>
          <w:sz w:val="26"/>
          <w:szCs w:val="26"/>
          <w:rtl/>
        </w:rPr>
        <w:t xml:space="preserve"> מוכר</w:t>
      </w:r>
      <w:r>
        <w:rPr>
          <w:rFonts w:ascii="David" w:hAnsi="David" w:hint="cs"/>
          <w:noProof w:val="0"/>
          <w:sz w:val="26"/>
          <w:szCs w:val="26"/>
          <w:rtl/>
        </w:rPr>
        <w:t>ים</w:t>
      </w:r>
      <w:r w:rsidRPr="005D2053">
        <w:rPr>
          <w:rFonts w:ascii="David" w:hAnsi="David"/>
          <w:noProof w:val="0"/>
          <w:sz w:val="26"/>
          <w:szCs w:val="26"/>
          <w:rtl/>
        </w:rPr>
        <w:t xml:space="preserve"> כרטיסי טיסה, ועל כן לא ניתן לטעון כי מתן</w:t>
      </w:r>
      <w:r w:rsidRPr="005D2053">
        <w:rPr>
          <w:rFonts w:ascii="David" w:hAnsi="David" w:hint="cs"/>
          <w:noProof w:val="0"/>
          <w:sz w:val="26"/>
          <w:szCs w:val="26"/>
          <w:rtl/>
        </w:rPr>
        <w:t xml:space="preserve"> </w:t>
      </w:r>
      <w:r w:rsidRPr="005D2053">
        <w:rPr>
          <w:rFonts w:ascii="David" w:hAnsi="David"/>
          <w:noProof w:val="0"/>
          <w:sz w:val="26"/>
          <w:szCs w:val="26"/>
          <w:rtl/>
        </w:rPr>
        <w:t>שירותי האירוח כלול או מגולם במכירת כרטיס הטיסה. הוא הדין ביחס לא</w:t>
      </w:r>
      <w:r>
        <w:rPr>
          <w:rFonts w:ascii="David" w:hAnsi="David" w:hint="cs"/>
          <w:noProof w:val="0"/>
          <w:sz w:val="26"/>
          <w:szCs w:val="26"/>
          <w:rtl/>
        </w:rPr>
        <w:t>ו</w:t>
      </w:r>
      <w:r w:rsidRPr="005D2053">
        <w:rPr>
          <w:rFonts w:ascii="David" w:hAnsi="David"/>
          <w:noProof w:val="0"/>
          <w:sz w:val="26"/>
          <w:szCs w:val="26"/>
          <w:rtl/>
        </w:rPr>
        <w:t>תם נוסעים המשלמים מכיסם עבור שירותי</w:t>
      </w:r>
      <w:r w:rsidRPr="005D2053">
        <w:rPr>
          <w:rFonts w:ascii="David" w:hAnsi="David" w:hint="cs"/>
          <w:noProof w:val="0"/>
          <w:sz w:val="26"/>
          <w:szCs w:val="26"/>
          <w:rtl/>
        </w:rPr>
        <w:t xml:space="preserve"> </w:t>
      </w:r>
      <w:r>
        <w:rPr>
          <w:rFonts w:ascii="David" w:hAnsi="David"/>
          <w:noProof w:val="0"/>
          <w:sz w:val="26"/>
          <w:szCs w:val="26"/>
          <w:rtl/>
        </w:rPr>
        <w:t>האירוח.</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sidRPr="005C6477">
        <w:rPr>
          <w:rFonts w:ascii="David" w:hAnsi="David"/>
          <w:noProof w:val="0"/>
          <w:sz w:val="26"/>
          <w:szCs w:val="26"/>
          <w:rtl/>
        </w:rPr>
        <w:t xml:space="preserve">לעניין סעיף </w:t>
      </w:r>
      <w:r w:rsidRPr="005C6477">
        <w:rPr>
          <w:rFonts w:ascii="David" w:hAnsi="David" w:hint="cs"/>
          <w:noProof w:val="0"/>
          <w:sz w:val="26"/>
          <w:szCs w:val="26"/>
          <w:rtl/>
        </w:rPr>
        <w:t>30(א)(2) ל</w:t>
      </w:r>
      <w:r w:rsidRPr="005C6477">
        <w:rPr>
          <w:rFonts w:ascii="David" w:hAnsi="David"/>
          <w:noProof w:val="0"/>
          <w:sz w:val="26"/>
          <w:szCs w:val="26"/>
          <w:rtl/>
        </w:rPr>
        <w:t>חוק</w:t>
      </w:r>
      <w:r w:rsidRPr="005C6477">
        <w:rPr>
          <w:rFonts w:ascii="David" w:hAnsi="David" w:hint="cs"/>
          <w:noProof w:val="0"/>
          <w:sz w:val="26"/>
          <w:szCs w:val="26"/>
          <w:rtl/>
        </w:rPr>
        <w:t xml:space="preserve">, </w:t>
      </w:r>
      <w:r w:rsidRPr="005C6477">
        <w:rPr>
          <w:rFonts w:ascii="David" w:hAnsi="David"/>
          <w:noProof w:val="0"/>
          <w:sz w:val="26"/>
          <w:szCs w:val="26"/>
          <w:rtl/>
        </w:rPr>
        <w:t>טענת המערערת בדבר מכירת נכס בלתי מוחשי מהווה טענה עובדתית סותרת</w:t>
      </w:r>
      <w:r w:rsidRPr="005C6477">
        <w:rPr>
          <w:rFonts w:ascii="David" w:hAnsi="David" w:hint="cs"/>
          <w:noProof w:val="0"/>
          <w:sz w:val="26"/>
          <w:szCs w:val="26"/>
          <w:rtl/>
        </w:rPr>
        <w:t xml:space="preserve">. </w:t>
      </w:r>
      <w:r w:rsidRPr="005C6477">
        <w:rPr>
          <w:rFonts w:ascii="David" w:hAnsi="David"/>
          <w:noProof w:val="0"/>
          <w:sz w:val="26"/>
          <w:szCs w:val="26"/>
          <w:rtl/>
        </w:rPr>
        <w:t>על פי טענת המערערת, היא עסקה במתן שירותי אירוח בטרקלינים לנוסעים, ולא</w:t>
      </w:r>
      <w:r w:rsidRPr="005C6477">
        <w:rPr>
          <w:rFonts w:ascii="David" w:hAnsi="David" w:hint="cs"/>
          <w:noProof w:val="0"/>
          <w:sz w:val="26"/>
          <w:szCs w:val="26"/>
          <w:rtl/>
        </w:rPr>
        <w:t xml:space="preserve"> </w:t>
      </w:r>
      <w:r>
        <w:rPr>
          <w:rFonts w:ascii="David" w:hAnsi="David"/>
          <w:noProof w:val="0"/>
          <w:sz w:val="26"/>
          <w:szCs w:val="26"/>
          <w:rtl/>
        </w:rPr>
        <w:t>במכירת זכויות שימוש בהם.</w:t>
      </w:r>
      <w:r>
        <w:rPr>
          <w:rFonts w:ascii="David" w:hAnsi="David" w:hint="cs"/>
          <w:noProof w:val="0"/>
          <w:sz w:val="26"/>
          <w:szCs w:val="26"/>
          <w:rtl/>
        </w:rPr>
        <w:t xml:space="preserve"> כמו כן, השירות לא ניתן ל"תושבי חוץ".</w:t>
      </w:r>
    </w:p>
    <w:p w:rsidR="00112166" w:rsidRPr="00147C34" w:rsidRDefault="00112166" w:rsidP="00112166">
      <w:pPr>
        <w:pStyle w:val="af"/>
        <w:numPr>
          <w:ilvl w:val="0"/>
          <w:numId w:val="1"/>
        </w:numPr>
        <w:spacing w:after="240" w:line="360" w:lineRule="auto"/>
        <w:contextualSpacing w:val="0"/>
        <w:jc w:val="both"/>
        <w:rPr>
          <w:rFonts w:ascii="David" w:hAnsi="David"/>
          <w:noProof w:val="0"/>
          <w:sz w:val="26"/>
          <w:szCs w:val="26"/>
        </w:rPr>
      </w:pPr>
      <w:r w:rsidRPr="00147C34">
        <w:rPr>
          <w:rFonts w:ascii="David" w:hAnsi="David" w:hint="cs"/>
          <w:noProof w:val="0"/>
          <w:sz w:val="26"/>
          <w:szCs w:val="26"/>
          <w:rtl/>
        </w:rPr>
        <w:lastRenderedPageBreak/>
        <w:t>בכל הנוגע לרולינג, המערערת לא הייתה יכולה להסתמך</w:t>
      </w:r>
      <w:r w:rsidRPr="00147C34">
        <w:rPr>
          <w:rFonts w:ascii="David" w:hAnsi="David"/>
          <w:noProof w:val="0"/>
          <w:sz w:val="26"/>
          <w:szCs w:val="26"/>
          <w:rtl/>
        </w:rPr>
        <w:t xml:space="preserve"> על </w:t>
      </w:r>
      <w:r w:rsidRPr="00147C34">
        <w:rPr>
          <w:rFonts w:ascii="David" w:hAnsi="David" w:hint="cs"/>
          <w:noProof w:val="0"/>
          <w:sz w:val="26"/>
          <w:szCs w:val="26"/>
          <w:rtl/>
        </w:rPr>
        <w:t>ה</w:t>
      </w:r>
      <w:r w:rsidRPr="00147C34">
        <w:rPr>
          <w:rFonts w:ascii="David" w:hAnsi="David"/>
          <w:noProof w:val="0"/>
          <w:sz w:val="26"/>
          <w:szCs w:val="26"/>
          <w:rtl/>
        </w:rPr>
        <w:t>רולינג שיצא, בשוגג, לחברה האחרת</w:t>
      </w:r>
      <w:r w:rsidRPr="00147C34">
        <w:rPr>
          <w:rFonts w:ascii="David" w:hAnsi="David" w:hint="cs"/>
          <w:noProof w:val="0"/>
          <w:sz w:val="26"/>
          <w:szCs w:val="26"/>
          <w:rtl/>
        </w:rPr>
        <w:t xml:space="preserve">. כמו כן, </w:t>
      </w:r>
      <w:r>
        <w:rPr>
          <w:rFonts w:ascii="David" w:hAnsi="David" w:hint="cs"/>
          <w:noProof w:val="0"/>
          <w:sz w:val="26"/>
          <w:szCs w:val="26"/>
          <w:rtl/>
        </w:rPr>
        <w:t>ב</w:t>
      </w:r>
      <w:r w:rsidRPr="00147C34">
        <w:rPr>
          <w:rFonts w:ascii="David" w:hAnsi="David"/>
          <w:noProof w:val="0"/>
          <w:sz w:val="26"/>
          <w:szCs w:val="26"/>
          <w:rtl/>
        </w:rPr>
        <w:t xml:space="preserve">שנים </w:t>
      </w:r>
      <w:r>
        <w:rPr>
          <w:rFonts w:ascii="David" w:hAnsi="David" w:hint="cs"/>
          <w:noProof w:val="0"/>
          <w:sz w:val="26"/>
          <w:szCs w:val="26"/>
          <w:rtl/>
        </w:rPr>
        <w:t>הרלוונטיות לערעור חל דין זהה על המערערת והחברה האחרת</w:t>
      </w:r>
      <w:r w:rsidRPr="00147C34">
        <w:rPr>
          <w:rFonts w:ascii="David" w:hAnsi="David" w:hint="cs"/>
          <w:noProof w:val="0"/>
          <w:sz w:val="26"/>
          <w:szCs w:val="26"/>
          <w:rtl/>
        </w:rPr>
        <w:t>. נוסף על כך, אין זהות בין המערערת ובין החברה האחרת.</w:t>
      </w:r>
      <w:r w:rsidRPr="00B5134A">
        <w:rPr>
          <w:rtl/>
        </w:rPr>
        <w:t xml:space="preserve"> </w:t>
      </w:r>
      <w:r w:rsidRPr="00147C34">
        <w:rPr>
          <w:rFonts w:ascii="David" w:hAnsi="David" w:hint="cs"/>
          <w:noProof w:val="0"/>
          <w:sz w:val="26"/>
          <w:szCs w:val="26"/>
          <w:rtl/>
        </w:rPr>
        <w:t xml:space="preserve">מכל מקום, </w:t>
      </w:r>
      <w:r w:rsidRPr="00147C34">
        <w:rPr>
          <w:rFonts w:ascii="David" w:hAnsi="David"/>
          <w:noProof w:val="0"/>
          <w:sz w:val="26"/>
          <w:szCs w:val="26"/>
          <w:rtl/>
        </w:rPr>
        <w:t xml:space="preserve">עם גילוי הסתירה בין </w:t>
      </w:r>
      <w:r w:rsidRPr="00147C34">
        <w:rPr>
          <w:rFonts w:ascii="David" w:hAnsi="David" w:hint="cs"/>
          <w:noProof w:val="0"/>
          <w:sz w:val="26"/>
          <w:szCs w:val="26"/>
          <w:rtl/>
        </w:rPr>
        <w:t>הרולינג</w:t>
      </w:r>
      <w:r w:rsidRPr="00147C34">
        <w:rPr>
          <w:rFonts w:ascii="David" w:hAnsi="David"/>
          <w:noProof w:val="0"/>
          <w:sz w:val="26"/>
          <w:szCs w:val="26"/>
          <w:rtl/>
        </w:rPr>
        <w:t xml:space="preserve"> ובין </w:t>
      </w:r>
      <w:r w:rsidRPr="00147C34">
        <w:rPr>
          <w:rFonts w:ascii="David" w:hAnsi="David" w:hint="cs"/>
          <w:noProof w:val="0"/>
          <w:sz w:val="26"/>
          <w:szCs w:val="26"/>
          <w:rtl/>
        </w:rPr>
        <w:t xml:space="preserve">עמדת </w:t>
      </w:r>
      <w:r w:rsidRPr="00147C34">
        <w:rPr>
          <w:rFonts w:ascii="David" w:hAnsi="David"/>
          <w:noProof w:val="0"/>
          <w:sz w:val="26"/>
          <w:szCs w:val="26"/>
          <w:rtl/>
        </w:rPr>
        <w:t>המשיב בערעור זה – הוחלט לבטל את הרולינג ולדבוק בעמדה משפטית</w:t>
      </w:r>
      <w:r w:rsidRPr="00147C34">
        <w:rPr>
          <w:rFonts w:ascii="David" w:hAnsi="David" w:hint="cs"/>
          <w:noProof w:val="0"/>
          <w:sz w:val="26"/>
          <w:szCs w:val="26"/>
          <w:rtl/>
        </w:rPr>
        <w:t xml:space="preserve"> </w:t>
      </w:r>
      <w:r w:rsidRPr="00147C34">
        <w:rPr>
          <w:rFonts w:ascii="David" w:hAnsi="David"/>
          <w:noProof w:val="0"/>
          <w:sz w:val="26"/>
          <w:szCs w:val="26"/>
          <w:rtl/>
        </w:rPr>
        <w:t>אחת המחייבת את כלל המחלקות אצל המשיב.</w:t>
      </w:r>
      <w:r w:rsidRPr="00C41234">
        <w:rPr>
          <w:rtl/>
        </w:rPr>
        <w:t xml:space="preserve"> </w:t>
      </w:r>
      <w:r w:rsidRPr="00147C34">
        <w:rPr>
          <w:rFonts w:ascii="David" w:hAnsi="David"/>
          <w:noProof w:val="0"/>
          <w:sz w:val="26"/>
          <w:szCs w:val="26"/>
          <w:rtl/>
        </w:rPr>
        <w:t>הרולינג</w:t>
      </w:r>
      <w:r w:rsidRPr="00147C34">
        <w:rPr>
          <w:rFonts w:ascii="David" w:hAnsi="David" w:hint="cs"/>
          <w:noProof w:val="0"/>
          <w:sz w:val="26"/>
          <w:szCs w:val="26"/>
          <w:rtl/>
        </w:rPr>
        <w:t xml:space="preserve"> </w:t>
      </w:r>
      <w:r w:rsidRPr="00147C34">
        <w:rPr>
          <w:rFonts w:ascii="David" w:hAnsi="David"/>
          <w:noProof w:val="0"/>
          <w:sz w:val="26"/>
          <w:szCs w:val="26"/>
          <w:rtl/>
        </w:rPr>
        <w:t>לא הוזכר</w:t>
      </w:r>
      <w:r>
        <w:rPr>
          <w:rFonts w:ascii="David" w:hAnsi="David"/>
          <w:noProof w:val="0"/>
          <w:sz w:val="26"/>
          <w:szCs w:val="26"/>
          <w:rtl/>
        </w:rPr>
        <w:t xml:space="preserve"> בכתב התשובה משום</w:t>
      </w:r>
      <w:r>
        <w:rPr>
          <w:rFonts w:ascii="David" w:hAnsi="David" w:hint="cs"/>
          <w:noProof w:val="0"/>
          <w:sz w:val="26"/>
          <w:szCs w:val="26"/>
          <w:rtl/>
        </w:rPr>
        <w:t xml:space="preserve"> שהמערערת ממילא לא הייתה יכולה להסתמך עליו.</w:t>
      </w:r>
      <w:r w:rsidRPr="001C4D8E">
        <w:rPr>
          <w:rtl/>
        </w:rPr>
        <w:t xml:space="preserve"> </w:t>
      </w:r>
      <w:r>
        <w:rPr>
          <w:rFonts w:ascii="David" w:hAnsi="David"/>
          <w:noProof w:val="0"/>
          <w:sz w:val="26"/>
          <w:szCs w:val="26"/>
          <w:rtl/>
        </w:rPr>
        <w:t>עם זאת, התמונה המלאה</w:t>
      </w:r>
      <w:r w:rsidRPr="001C4D8E">
        <w:rPr>
          <w:rFonts w:ascii="David" w:hAnsi="David"/>
          <w:noProof w:val="0"/>
          <w:sz w:val="26"/>
          <w:szCs w:val="26"/>
          <w:rtl/>
        </w:rPr>
        <w:t xml:space="preserve"> נפרשה במסגרת קדם המשפט הראשון שהתקיים בתיק</w:t>
      </w:r>
      <w:r>
        <w:rPr>
          <w:rFonts w:ascii="David" w:hAnsi="David" w:hint="cs"/>
          <w:noProof w:val="0"/>
          <w:sz w:val="26"/>
          <w:szCs w:val="26"/>
          <w:rtl/>
        </w:rPr>
        <w:t>.</w:t>
      </w:r>
    </w:p>
    <w:p w:rsidR="00112166" w:rsidRPr="005A671F" w:rsidRDefault="00112166" w:rsidP="00112166">
      <w:pPr>
        <w:pStyle w:val="af"/>
        <w:numPr>
          <w:ilvl w:val="0"/>
          <w:numId w:val="1"/>
        </w:numPr>
        <w:spacing w:after="240" w:line="360" w:lineRule="auto"/>
        <w:contextualSpacing w:val="0"/>
        <w:jc w:val="both"/>
        <w:rPr>
          <w:rFonts w:ascii="David" w:hAnsi="David"/>
          <w:noProof w:val="0"/>
          <w:sz w:val="26"/>
          <w:szCs w:val="26"/>
        </w:rPr>
      </w:pPr>
      <w:r w:rsidRPr="005A671F">
        <w:rPr>
          <w:rFonts w:ascii="David" w:hAnsi="David" w:hint="cs"/>
          <w:noProof w:val="0"/>
          <w:sz w:val="26"/>
          <w:szCs w:val="26"/>
          <w:rtl/>
        </w:rPr>
        <w:t xml:space="preserve">בכל הנוגע לשומת התשומות, </w:t>
      </w:r>
      <w:r>
        <w:rPr>
          <w:rFonts w:ascii="David" w:hAnsi="David"/>
          <w:noProof w:val="0"/>
          <w:sz w:val="26"/>
          <w:szCs w:val="26"/>
          <w:rtl/>
        </w:rPr>
        <w:t>תקנה 14 לתקנות</w:t>
      </w:r>
      <w:r w:rsidRPr="005A671F">
        <w:rPr>
          <w:rFonts w:ascii="David" w:hAnsi="David"/>
          <w:noProof w:val="0"/>
          <w:sz w:val="26"/>
          <w:szCs w:val="26"/>
          <w:rtl/>
        </w:rPr>
        <w:t xml:space="preserve"> קובעת חזקה חלוטה לפיה יראו את השימוש ברכב פרטי בעסק</w:t>
      </w:r>
      <w:r w:rsidRPr="005A671F">
        <w:rPr>
          <w:rFonts w:ascii="David" w:hAnsi="David" w:hint="cs"/>
          <w:noProof w:val="0"/>
          <w:sz w:val="26"/>
          <w:szCs w:val="26"/>
          <w:rtl/>
        </w:rPr>
        <w:t xml:space="preserve"> </w:t>
      </w:r>
      <w:r w:rsidRPr="005A671F">
        <w:rPr>
          <w:rFonts w:ascii="David" w:hAnsi="David"/>
          <w:noProof w:val="0"/>
          <w:sz w:val="26"/>
          <w:szCs w:val="26"/>
          <w:rtl/>
        </w:rPr>
        <w:t>כשימוש שאינו לצרכי העסק. אין חולק כי</w:t>
      </w:r>
      <w:r>
        <w:rPr>
          <w:rFonts w:ascii="David" w:hAnsi="David"/>
          <w:noProof w:val="0"/>
          <w:sz w:val="26"/>
          <w:szCs w:val="26"/>
          <w:rtl/>
        </w:rPr>
        <w:t xml:space="preserve"> </w:t>
      </w:r>
      <w:r>
        <w:rPr>
          <w:rFonts w:ascii="David" w:hAnsi="David" w:hint="cs"/>
          <w:noProof w:val="0"/>
          <w:sz w:val="26"/>
          <w:szCs w:val="26"/>
          <w:rtl/>
        </w:rPr>
        <w:t>הרכבים</w:t>
      </w:r>
      <w:r w:rsidRPr="005A671F">
        <w:rPr>
          <w:rFonts w:ascii="David" w:hAnsi="David"/>
          <w:noProof w:val="0"/>
          <w:sz w:val="26"/>
          <w:szCs w:val="26"/>
          <w:rtl/>
        </w:rPr>
        <w:t xml:space="preserve"> הם רכבים פרטיים</w:t>
      </w:r>
      <w:r>
        <w:rPr>
          <w:rFonts w:ascii="David" w:hAnsi="David" w:hint="cs"/>
          <w:noProof w:val="0"/>
          <w:sz w:val="26"/>
          <w:szCs w:val="26"/>
          <w:rtl/>
        </w:rPr>
        <w:t>, שלא מסוג ג'יפ,</w:t>
      </w:r>
      <w:r w:rsidRPr="005A671F">
        <w:rPr>
          <w:rFonts w:ascii="David" w:hAnsi="David"/>
          <w:noProof w:val="0"/>
          <w:sz w:val="26"/>
          <w:szCs w:val="26"/>
          <w:rtl/>
        </w:rPr>
        <w:t xml:space="preserve"> וכי על המערערת לא חלים הסייגים</w:t>
      </w:r>
      <w:r>
        <w:rPr>
          <w:rFonts w:ascii="David" w:hAnsi="David" w:hint="cs"/>
          <w:noProof w:val="0"/>
          <w:sz w:val="26"/>
          <w:szCs w:val="26"/>
          <w:rtl/>
        </w:rPr>
        <w:t xml:space="preserve"> המפורטים בתקנה 14 לתקנות</w:t>
      </w:r>
      <w:r w:rsidRPr="005A671F">
        <w:rPr>
          <w:rFonts w:ascii="David" w:hAnsi="David"/>
          <w:noProof w:val="0"/>
          <w:sz w:val="26"/>
          <w:szCs w:val="26"/>
          <w:rtl/>
        </w:rPr>
        <w:t xml:space="preserve"> המתירים ניכוי מס תשומות</w:t>
      </w:r>
      <w:r>
        <w:rPr>
          <w:rFonts w:ascii="David" w:hAnsi="David" w:hint="cs"/>
          <w:noProof w:val="0"/>
          <w:sz w:val="26"/>
          <w:szCs w:val="26"/>
          <w:rtl/>
        </w:rPr>
        <w:t>.</w:t>
      </w:r>
      <w:r w:rsidRPr="005A671F">
        <w:rPr>
          <w:rtl/>
        </w:rPr>
        <w:t xml:space="preserve"> </w:t>
      </w:r>
      <w:r>
        <w:rPr>
          <w:rFonts w:ascii="David" w:hAnsi="David"/>
          <w:noProof w:val="0"/>
          <w:sz w:val="26"/>
          <w:szCs w:val="26"/>
          <w:rtl/>
        </w:rPr>
        <w:t>במצב דברים זה</w:t>
      </w:r>
      <w:r>
        <w:rPr>
          <w:rFonts w:ascii="David" w:hAnsi="David" w:hint="cs"/>
          <w:noProof w:val="0"/>
          <w:sz w:val="26"/>
          <w:szCs w:val="26"/>
          <w:rtl/>
        </w:rPr>
        <w:t xml:space="preserve"> ולאור הוראות הדין</w:t>
      </w:r>
      <w:r>
        <w:rPr>
          <w:rFonts w:ascii="David" w:hAnsi="David"/>
          <w:noProof w:val="0"/>
          <w:sz w:val="26"/>
          <w:szCs w:val="26"/>
          <w:rtl/>
        </w:rPr>
        <w:t xml:space="preserve">, לא ניתן לאשר </w:t>
      </w:r>
      <w:r>
        <w:rPr>
          <w:rFonts w:ascii="David" w:hAnsi="David" w:hint="cs"/>
          <w:noProof w:val="0"/>
          <w:sz w:val="26"/>
          <w:szCs w:val="26"/>
          <w:rtl/>
        </w:rPr>
        <w:t xml:space="preserve">את </w:t>
      </w:r>
      <w:r w:rsidRPr="005A671F">
        <w:rPr>
          <w:rFonts w:ascii="David" w:hAnsi="David"/>
          <w:noProof w:val="0"/>
          <w:sz w:val="26"/>
          <w:szCs w:val="26"/>
          <w:rtl/>
        </w:rPr>
        <w:t>ניכוי מס התשומות</w:t>
      </w:r>
      <w:r>
        <w:rPr>
          <w:rFonts w:ascii="David" w:hAnsi="David" w:hint="cs"/>
          <w:noProof w:val="0"/>
          <w:sz w:val="26"/>
          <w:szCs w:val="26"/>
          <w:rtl/>
        </w:rPr>
        <w:t>.</w:t>
      </w:r>
    </w:p>
    <w:p w:rsidR="00112166" w:rsidRPr="008C7A14" w:rsidRDefault="00112166" w:rsidP="00112166">
      <w:pPr>
        <w:pStyle w:val="af"/>
        <w:numPr>
          <w:ilvl w:val="0"/>
          <w:numId w:val="1"/>
        </w:numPr>
        <w:spacing w:after="240" w:line="360" w:lineRule="auto"/>
        <w:contextualSpacing w:val="0"/>
        <w:jc w:val="both"/>
        <w:rPr>
          <w:rFonts w:ascii="David" w:hAnsi="David"/>
          <w:noProof w:val="0"/>
          <w:sz w:val="26"/>
          <w:szCs w:val="26"/>
          <w:rtl/>
        </w:rPr>
      </w:pPr>
      <w:r w:rsidRPr="005A671F">
        <w:rPr>
          <w:rFonts w:ascii="David" w:hAnsi="David"/>
          <w:noProof w:val="0"/>
          <w:sz w:val="26"/>
          <w:szCs w:val="26"/>
          <w:rtl/>
        </w:rPr>
        <w:t>באשר לטענות שהועלו כנגד אופן ועיתוי הוצאת ההחלט</w:t>
      </w:r>
      <w:r w:rsidRPr="005A671F">
        <w:rPr>
          <w:rFonts w:ascii="David" w:hAnsi="David" w:hint="cs"/>
          <w:noProof w:val="0"/>
          <w:sz w:val="26"/>
          <w:szCs w:val="26"/>
          <w:rtl/>
        </w:rPr>
        <w:t>ה</w:t>
      </w:r>
      <w:r w:rsidRPr="005A671F">
        <w:rPr>
          <w:rFonts w:ascii="David" w:hAnsi="David"/>
          <w:noProof w:val="0"/>
          <w:sz w:val="26"/>
          <w:szCs w:val="26"/>
          <w:rtl/>
        </w:rPr>
        <w:t xml:space="preserve"> בהשגה</w:t>
      </w:r>
      <w:r w:rsidRPr="005A671F">
        <w:rPr>
          <w:rFonts w:ascii="David" w:hAnsi="David" w:hint="cs"/>
          <w:noProof w:val="0"/>
          <w:sz w:val="26"/>
          <w:szCs w:val="26"/>
          <w:rtl/>
        </w:rPr>
        <w:t xml:space="preserve">, </w:t>
      </w:r>
      <w:r w:rsidRPr="005A671F">
        <w:rPr>
          <w:rFonts w:ascii="David" w:hAnsi="David"/>
          <w:noProof w:val="0"/>
          <w:sz w:val="26"/>
          <w:szCs w:val="26"/>
          <w:rtl/>
        </w:rPr>
        <w:t>לא ברור על מה</w:t>
      </w:r>
      <w:r w:rsidRPr="005A671F">
        <w:rPr>
          <w:rFonts w:ascii="David" w:hAnsi="David" w:hint="cs"/>
          <w:noProof w:val="0"/>
          <w:sz w:val="26"/>
          <w:szCs w:val="26"/>
          <w:rtl/>
        </w:rPr>
        <w:t xml:space="preserve"> </w:t>
      </w:r>
      <w:r w:rsidRPr="005A671F">
        <w:rPr>
          <w:rFonts w:ascii="David" w:hAnsi="David"/>
          <w:noProof w:val="0"/>
          <w:sz w:val="26"/>
          <w:szCs w:val="26"/>
          <w:rtl/>
        </w:rPr>
        <w:t>מלינה המערערת</w:t>
      </w:r>
      <w:r w:rsidRPr="005A671F">
        <w:rPr>
          <w:rFonts w:ascii="David" w:hAnsi="David" w:hint="cs"/>
          <w:noProof w:val="0"/>
          <w:sz w:val="26"/>
          <w:szCs w:val="26"/>
          <w:rtl/>
        </w:rPr>
        <w:t>.</w:t>
      </w:r>
      <w:r w:rsidRPr="005A671F">
        <w:rPr>
          <w:rFonts w:ascii="David" w:hAnsi="David"/>
          <w:noProof w:val="0"/>
          <w:sz w:val="26"/>
          <w:szCs w:val="26"/>
          <w:rtl/>
        </w:rPr>
        <w:t xml:space="preserve"> </w:t>
      </w:r>
      <w:r w:rsidRPr="005A671F">
        <w:rPr>
          <w:rFonts w:ascii="David" w:hAnsi="David" w:hint="cs"/>
          <w:noProof w:val="0"/>
          <w:sz w:val="26"/>
          <w:szCs w:val="26"/>
          <w:rtl/>
        </w:rPr>
        <w:t>למערערת לא נפגמה זכות הטיעון</w:t>
      </w:r>
      <w:r w:rsidRPr="005A671F">
        <w:rPr>
          <w:rFonts w:ascii="David" w:hAnsi="David"/>
          <w:noProof w:val="0"/>
          <w:sz w:val="26"/>
          <w:szCs w:val="26"/>
          <w:rtl/>
        </w:rPr>
        <w:t xml:space="preserve"> </w:t>
      </w:r>
      <w:r w:rsidRPr="005A671F">
        <w:rPr>
          <w:rFonts w:ascii="David" w:hAnsi="David" w:hint="cs"/>
          <w:noProof w:val="0"/>
          <w:sz w:val="26"/>
          <w:szCs w:val="26"/>
          <w:rtl/>
        </w:rPr>
        <w:t>ו</w:t>
      </w:r>
      <w:r w:rsidRPr="005A671F">
        <w:rPr>
          <w:rFonts w:ascii="David" w:hAnsi="David"/>
          <w:noProof w:val="0"/>
          <w:sz w:val="26"/>
          <w:szCs w:val="26"/>
          <w:rtl/>
        </w:rPr>
        <w:t>המשיב עמד במועד שנקבע ע</w:t>
      </w:r>
      <w:r w:rsidRPr="005A671F">
        <w:rPr>
          <w:rFonts w:ascii="David" w:hAnsi="David" w:hint="cs"/>
          <w:noProof w:val="0"/>
          <w:sz w:val="26"/>
          <w:szCs w:val="26"/>
          <w:rtl/>
        </w:rPr>
        <w:t xml:space="preserve">ל ידי </w:t>
      </w:r>
      <w:r w:rsidRPr="005A671F">
        <w:rPr>
          <w:rFonts w:ascii="David" w:hAnsi="David"/>
          <w:noProof w:val="0"/>
          <w:sz w:val="26"/>
          <w:szCs w:val="26"/>
          <w:rtl/>
        </w:rPr>
        <w:t>המחוקק</w:t>
      </w:r>
      <w:r w:rsidRPr="005A671F">
        <w:rPr>
          <w:rFonts w:ascii="David" w:hAnsi="David" w:hint="cs"/>
          <w:noProof w:val="0"/>
          <w:sz w:val="26"/>
          <w:szCs w:val="26"/>
          <w:rtl/>
        </w:rPr>
        <w:t xml:space="preserve">. </w:t>
      </w:r>
      <w:r w:rsidRPr="005A671F">
        <w:rPr>
          <w:rFonts w:ascii="David" w:hAnsi="David"/>
          <w:noProof w:val="0"/>
          <w:sz w:val="26"/>
          <w:szCs w:val="26"/>
          <w:rtl/>
        </w:rPr>
        <w:t xml:space="preserve">העובדה כי נציג המשיב לא ביקר באולם היוצאים בנתב"ג אין בה כדי לפגום בהחלטתו. </w:t>
      </w:r>
      <w:r w:rsidRPr="005A671F">
        <w:rPr>
          <w:rFonts w:ascii="David" w:hAnsi="David" w:hint="cs"/>
          <w:noProof w:val="0"/>
          <w:sz w:val="26"/>
          <w:szCs w:val="26"/>
          <w:rtl/>
        </w:rPr>
        <w:t xml:space="preserve">אף לאחר דיון ההוכחות לא עלה בידי המערערת להראות </w:t>
      </w:r>
      <w:r w:rsidRPr="005A671F">
        <w:rPr>
          <w:rFonts w:ascii="David" w:hAnsi="David"/>
          <w:noProof w:val="0"/>
          <w:sz w:val="26"/>
          <w:szCs w:val="26"/>
          <w:rtl/>
        </w:rPr>
        <w:t>כי לו היה נציג המשיב מבקר בטרמינל היה מגיע למסקנה שונה מזו שאליה הגיע</w:t>
      </w:r>
      <w:r w:rsidRPr="005A671F">
        <w:rPr>
          <w:rFonts w:ascii="David" w:hAnsi="David" w:hint="cs"/>
          <w:noProof w:val="0"/>
          <w:sz w:val="26"/>
          <w:szCs w:val="26"/>
          <w:rtl/>
        </w:rPr>
        <w:t>.</w:t>
      </w:r>
      <w:r w:rsidRPr="005A671F">
        <w:rPr>
          <w:rtl/>
        </w:rPr>
        <w:t xml:space="preserve"> </w:t>
      </w:r>
      <w:r w:rsidRPr="005A671F">
        <w:rPr>
          <w:rFonts w:ascii="David" w:hAnsi="David"/>
          <w:noProof w:val="0"/>
          <w:sz w:val="26"/>
          <w:szCs w:val="26"/>
          <w:rtl/>
        </w:rPr>
        <w:t>במקרה דנן, כבשגרה, לא נועץ נציג המשיב במחלקה המקצועית טרם שנתן החלטתו</w:t>
      </w:r>
      <w:r w:rsidRPr="005A671F">
        <w:rPr>
          <w:rFonts w:ascii="David" w:hAnsi="David" w:hint="cs"/>
          <w:noProof w:val="0"/>
          <w:sz w:val="26"/>
          <w:szCs w:val="26"/>
          <w:rtl/>
        </w:rPr>
        <w:t xml:space="preserve"> </w:t>
      </w:r>
      <w:r w:rsidRPr="005A671F">
        <w:rPr>
          <w:rFonts w:ascii="David" w:hAnsi="David"/>
          <w:noProof w:val="0"/>
          <w:sz w:val="26"/>
          <w:szCs w:val="26"/>
          <w:rtl/>
        </w:rPr>
        <w:t>בהשגה. למשיב שיקול דעת באשר להיקף</w:t>
      </w:r>
      <w:r w:rsidRPr="005A671F">
        <w:rPr>
          <w:rFonts w:ascii="David" w:hAnsi="David" w:hint="cs"/>
          <w:noProof w:val="0"/>
          <w:sz w:val="26"/>
          <w:szCs w:val="26"/>
          <w:rtl/>
        </w:rPr>
        <w:t xml:space="preserve"> </w:t>
      </w:r>
      <w:r w:rsidRPr="005A671F">
        <w:rPr>
          <w:rFonts w:ascii="David" w:hAnsi="David"/>
          <w:noProof w:val="0"/>
          <w:sz w:val="26"/>
          <w:szCs w:val="26"/>
          <w:rtl/>
        </w:rPr>
        <w:t>ההתייעצות שעליו ליישם. במקרים אותם מוצא המשיב לנכון, פונה הוא לקבלת ייעוץ מהמחלקות</w:t>
      </w:r>
      <w:r>
        <w:rPr>
          <w:rFonts w:ascii="David" w:hAnsi="David" w:hint="cs"/>
          <w:noProof w:val="0"/>
          <w:sz w:val="26"/>
          <w:szCs w:val="26"/>
          <w:rtl/>
        </w:rPr>
        <w:t xml:space="preserve"> </w:t>
      </w:r>
      <w:r w:rsidRPr="005A671F">
        <w:rPr>
          <w:rFonts w:ascii="David" w:hAnsi="David"/>
          <w:noProof w:val="0"/>
          <w:sz w:val="26"/>
          <w:szCs w:val="26"/>
          <w:rtl/>
        </w:rPr>
        <w:t>השונות ומוסיף לחקור את הסוגיה באמצעות גורמים נוספים, בהתאם לצורך</w:t>
      </w:r>
      <w:r>
        <w:rPr>
          <w:rFonts w:ascii="David" w:hAnsi="David" w:hint="cs"/>
          <w:noProof w:val="0"/>
          <w:sz w:val="26"/>
          <w:szCs w:val="26"/>
          <w:rtl/>
        </w:rPr>
        <w:t>.</w:t>
      </w:r>
    </w:p>
    <w:p w:rsidR="00112166" w:rsidRPr="003D024E" w:rsidRDefault="00112166" w:rsidP="00112166">
      <w:pPr>
        <w:spacing w:after="240" w:line="360" w:lineRule="auto"/>
        <w:jc w:val="both"/>
        <w:rPr>
          <w:rFonts w:ascii="David" w:hAnsi="David"/>
          <w:b/>
          <w:bCs/>
          <w:noProof w:val="0"/>
          <w:sz w:val="26"/>
          <w:szCs w:val="26"/>
          <w:u w:val="single"/>
          <w:rtl/>
        </w:rPr>
      </w:pPr>
      <w:r w:rsidRPr="003D024E">
        <w:rPr>
          <w:rFonts w:ascii="David" w:hAnsi="David"/>
          <w:b/>
          <w:bCs/>
          <w:noProof w:val="0"/>
          <w:sz w:val="28"/>
          <w:szCs w:val="28"/>
          <w:u w:val="single"/>
          <w:rtl/>
        </w:rPr>
        <w:t>דיון</w:t>
      </w:r>
    </w:p>
    <w:p w:rsidR="00112166" w:rsidRPr="00BB1DF8"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בענייננו כאמור שתי שאלות נפרדות עומדות על הפרק: </w:t>
      </w:r>
      <w:r w:rsidRPr="00BB1DF8">
        <w:rPr>
          <w:rFonts w:ascii="David" w:hAnsi="David" w:hint="cs"/>
          <w:b/>
          <w:bCs/>
          <w:noProof w:val="0"/>
          <w:sz w:val="26"/>
          <w:szCs w:val="26"/>
          <w:rtl/>
        </w:rPr>
        <w:t>הראשו</w:t>
      </w:r>
      <w:r>
        <w:rPr>
          <w:rFonts w:ascii="David" w:hAnsi="David" w:hint="cs"/>
          <w:b/>
          <w:bCs/>
          <w:noProof w:val="0"/>
          <w:sz w:val="26"/>
          <w:szCs w:val="26"/>
          <w:rtl/>
        </w:rPr>
        <w:t>נה</w:t>
      </w:r>
      <w:r>
        <w:rPr>
          <w:rFonts w:ascii="David" w:hAnsi="David" w:hint="cs"/>
          <w:noProof w:val="0"/>
          <w:sz w:val="26"/>
          <w:szCs w:val="26"/>
          <w:rtl/>
        </w:rPr>
        <w:t xml:space="preserve">, האם שירותי האירוח בטרקלינים חייבים במע"מ בשיעור אפס, או שמא במע"מ בשיעור מלא? </w:t>
      </w:r>
      <w:r w:rsidRPr="00BB1DF8">
        <w:rPr>
          <w:rFonts w:ascii="David" w:hAnsi="David" w:hint="cs"/>
          <w:b/>
          <w:bCs/>
          <w:noProof w:val="0"/>
          <w:sz w:val="26"/>
          <w:szCs w:val="26"/>
          <w:rtl/>
        </w:rPr>
        <w:t>והשני</w:t>
      </w:r>
      <w:r>
        <w:rPr>
          <w:rFonts w:ascii="David" w:hAnsi="David" w:hint="cs"/>
          <w:b/>
          <w:bCs/>
          <w:noProof w:val="0"/>
          <w:sz w:val="26"/>
          <w:szCs w:val="26"/>
          <w:rtl/>
        </w:rPr>
        <w:t>יה</w:t>
      </w:r>
      <w:r>
        <w:rPr>
          <w:rFonts w:ascii="David" w:hAnsi="David" w:hint="cs"/>
          <w:noProof w:val="0"/>
          <w:sz w:val="26"/>
          <w:szCs w:val="26"/>
          <w:rtl/>
        </w:rPr>
        <w:t>, האם ניתן לנכות מס תשומות בגין שכירתם של רכבים פרטיים ששימשו אך ורק לצרכי העסק? אדון בשאלות אלו כסדרן.</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אקדים ואציין כי </w:t>
      </w:r>
      <w:r w:rsidRPr="003D024E">
        <w:rPr>
          <w:rFonts w:ascii="David" w:hAnsi="David"/>
          <w:noProof w:val="0"/>
          <w:sz w:val="26"/>
          <w:szCs w:val="26"/>
          <w:rtl/>
        </w:rPr>
        <w:t xml:space="preserve">לאחר שעיינתי היטב בכתבי הטענות ולאחר ששמעתי את הצדדים בדיונים שנערכו לפניי, אני סבורה כי </w:t>
      </w:r>
      <w:r>
        <w:rPr>
          <w:rFonts w:ascii="David" w:hAnsi="David" w:hint="cs"/>
          <w:noProof w:val="0"/>
          <w:sz w:val="26"/>
          <w:szCs w:val="26"/>
          <w:rtl/>
        </w:rPr>
        <w:t>דין הערעור להידחות ביחס לשתי השאלות.</w:t>
      </w:r>
    </w:p>
    <w:p w:rsidR="00112166" w:rsidRPr="001B546B" w:rsidRDefault="00112166" w:rsidP="00112166">
      <w:pPr>
        <w:spacing w:after="240" w:line="360" w:lineRule="auto"/>
        <w:jc w:val="both"/>
        <w:rPr>
          <w:rFonts w:ascii="David" w:hAnsi="David"/>
          <w:noProof w:val="0"/>
          <w:sz w:val="26"/>
          <w:szCs w:val="26"/>
          <w:u w:val="single"/>
        </w:rPr>
      </w:pPr>
      <w:r>
        <w:rPr>
          <w:rFonts w:ascii="David" w:hAnsi="David" w:hint="cs"/>
          <w:noProof w:val="0"/>
          <w:sz w:val="26"/>
          <w:szCs w:val="26"/>
          <w:u w:val="single"/>
          <w:rtl/>
        </w:rPr>
        <w:lastRenderedPageBreak/>
        <w:t>סעיף 30(א)(6) לחוק</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טוענת כי בהתאם להוראות סעיף 30(א)(6) לחוק, שירותי האירוח חייבים במע"מ בשיעור אפס.</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סעיף 30(א)(6) לחוק קובע כדלהלן: "</w:t>
      </w:r>
      <w:r w:rsidRPr="00FB67FC">
        <w:rPr>
          <w:rFonts w:ascii="David" w:hAnsi="David"/>
          <w:b/>
          <w:bCs/>
          <w:noProof w:val="0"/>
          <w:sz w:val="26"/>
          <w:szCs w:val="26"/>
          <w:rtl/>
        </w:rPr>
        <w:t>אלה עסקאות שהמס עליהן יהיה בשיעור אפס</w:t>
      </w:r>
      <w:r w:rsidRPr="00FB67FC">
        <w:rPr>
          <w:rFonts w:ascii="David" w:hAnsi="David" w:hint="cs"/>
          <w:b/>
          <w:bCs/>
          <w:noProof w:val="0"/>
          <w:sz w:val="26"/>
          <w:szCs w:val="26"/>
          <w:rtl/>
        </w:rPr>
        <w:t xml:space="preserve">: ... (6) </w:t>
      </w:r>
      <w:r w:rsidRPr="00FB67FC">
        <w:rPr>
          <w:rFonts w:ascii="David" w:hAnsi="David"/>
          <w:b/>
          <w:bCs/>
          <w:noProof w:val="0"/>
          <w:sz w:val="26"/>
          <w:szCs w:val="26"/>
          <w:rtl/>
        </w:rPr>
        <w:t>שירות בקשר עם כניסתם של כלי טיס או כלי שיט לישראל או עם יציאתם ממנה או בקשר לשינוע טובין –</w:t>
      </w:r>
      <w:r w:rsidRPr="00FB67FC">
        <w:rPr>
          <w:rFonts w:ascii="David" w:hAnsi="David" w:hint="cs"/>
          <w:b/>
          <w:bCs/>
          <w:noProof w:val="0"/>
          <w:sz w:val="26"/>
          <w:szCs w:val="26"/>
          <w:rtl/>
        </w:rPr>
        <w:t xml:space="preserve"> </w:t>
      </w:r>
      <w:r w:rsidRPr="00FB67FC">
        <w:rPr>
          <w:rFonts w:ascii="David" w:hAnsi="David"/>
          <w:b/>
          <w:bCs/>
          <w:noProof w:val="0"/>
          <w:sz w:val="26"/>
          <w:szCs w:val="26"/>
          <w:rtl/>
        </w:rPr>
        <w:t>(א) שנתנה רשות שדות התעופה או חברת נמל כהגדרתה בחוק רשות הספנות והנמלים, התשס"ד-2004 לכלי הטיס או לכלי השיט או לנוסע בהם בקשר לכניסתו לישראל או ליציאתו מישראל</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נשאלת השאלה כיצד יש לפרש את המילים "</w:t>
      </w:r>
      <w:r w:rsidRPr="00FB67FC">
        <w:rPr>
          <w:rFonts w:ascii="David" w:hAnsi="David" w:hint="cs"/>
          <w:b/>
          <w:bCs/>
          <w:noProof w:val="0"/>
          <w:sz w:val="26"/>
          <w:szCs w:val="26"/>
          <w:rtl/>
        </w:rPr>
        <w:t>בקשר לכניסתו לישראל או ליציאתו מישראל</w:t>
      </w:r>
      <w:r>
        <w:rPr>
          <w:rFonts w:ascii="David" w:hAnsi="David" w:hint="cs"/>
          <w:noProof w:val="0"/>
          <w:sz w:val="26"/>
          <w:szCs w:val="26"/>
          <w:rtl/>
        </w:rPr>
        <w:t>", ובפרט את המילה "</w:t>
      </w:r>
      <w:r w:rsidRPr="00842D77">
        <w:rPr>
          <w:rFonts w:ascii="David" w:hAnsi="David" w:hint="cs"/>
          <w:b/>
          <w:bCs/>
          <w:noProof w:val="0"/>
          <w:sz w:val="26"/>
          <w:szCs w:val="26"/>
          <w:rtl/>
        </w:rPr>
        <w:t>בקשר</w:t>
      </w:r>
      <w:r>
        <w:rPr>
          <w:rFonts w:ascii="David" w:hAnsi="David" w:hint="cs"/>
          <w:noProof w:val="0"/>
          <w:sz w:val="26"/>
          <w:szCs w:val="26"/>
          <w:rtl/>
        </w:rPr>
        <w:t xml:space="preserve">" </w:t>
      </w:r>
      <w:r>
        <w:rPr>
          <w:rFonts w:ascii="David" w:hAnsi="David"/>
          <w:noProof w:val="0"/>
          <w:sz w:val="26"/>
          <w:szCs w:val="26"/>
          <w:rtl/>
        </w:rPr>
        <w:t>–</w:t>
      </w:r>
      <w:r>
        <w:rPr>
          <w:rFonts w:ascii="David" w:hAnsi="David" w:hint="cs"/>
          <w:noProof w:val="0"/>
          <w:sz w:val="26"/>
          <w:szCs w:val="26"/>
          <w:rtl/>
        </w:rPr>
        <w:t xml:space="preserve"> האם די בקשר רופף לפעולת הכניסה והיציאה או שמא יש צורך בקשר מהותי ואינטגרלי? כלומר, האם יש להעניק למילה "</w:t>
      </w:r>
      <w:r w:rsidRPr="00DC2C1D">
        <w:rPr>
          <w:rFonts w:ascii="David" w:hAnsi="David" w:hint="cs"/>
          <w:b/>
          <w:bCs/>
          <w:noProof w:val="0"/>
          <w:sz w:val="26"/>
          <w:szCs w:val="26"/>
          <w:rtl/>
        </w:rPr>
        <w:t>בקשר</w:t>
      </w:r>
      <w:r>
        <w:rPr>
          <w:rFonts w:ascii="David" w:hAnsi="David" w:hint="cs"/>
          <w:noProof w:val="0"/>
          <w:sz w:val="26"/>
          <w:szCs w:val="26"/>
          <w:rtl/>
        </w:rPr>
        <w:t xml:space="preserve">" פרשנות מרחיבה או מצמצמת? </w:t>
      </w:r>
    </w:p>
    <w:p w:rsidR="00112166" w:rsidRDefault="00112166" w:rsidP="00441E32">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אם ייקבע כי די בקשר רופף, הרי שיהיה מקום להמשיך ולבחון אם יש לקבל את עמדת המערערת, שכן שירותי האירוח ניתנים על ידי המערערת (מתוקף הרשאת הרשות) לנוסעים במסגרת כניסתם או יציאתם מישראל; לעומת זאת, אם ייקבע כי יש צורך בקשר אינטגרלי לכניסה או ליציאה, אין מחלוקת כי שירותי האירוח לא נדרשים לשם הכניסה או היציאה מישראל </w:t>
      </w:r>
      <w:r>
        <w:rPr>
          <w:rFonts w:ascii="David" w:hAnsi="David"/>
          <w:noProof w:val="0"/>
          <w:sz w:val="26"/>
          <w:szCs w:val="26"/>
          <w:rtl/>
        </w:rPr>
        <w:t>(</w:t>
      </w:r>
      <w:r>
        <w:rPr>
          <w:rFonts w:ascii="David" w:hAnsi="David" w:hint="cs"/>
          <w:noProof w:val="0"/>
          <w:sz w:val="26"/>
          <w:szCs w:val="26"/>
          <w:rtl/>
        </w:rPr>
        <w:t xml:space="preserve">למשל, עמ' 43, ש' 14 </w:t>
      </w:r>
      <w:r>
        <w:rPr>
          <w:rFonts w:ascii="David" w:hAnsi="David"/>
          <w:noProof w:val="0"/>
          <w:sz w:val="26"/>
          <w:szCs w:val="26"/>
          <w:rtl/>
        </w:rPr>
        <w:t>–</w:t>
      </w:r>
      <w:r>
        <w:rPr>
          <w:rFonts w:ascii="David" w:hAnsi="David" w:hint="cs"/>
          <w:noProof w:val="0"/>
          <w:sz w:val="26"/>
          <w:szCs w:val="26"/>
          <w:rtl/>
        </w:rPr>
        <w:t xml:space="preserve"> 18 לפרוטוקול</w:t>
      </w:r>
      <w:r>
        <w:rPr>
          <w:rFonts w:ascii="David" w:hAnsi="David"/>
          <w:noProof w:val="0"/>
          <w:sz w:val="26"/>
          <w:szCs w:val="26"/>
          <w:rtl/>
        </w:rPr>
        <w:t>)</w:t>
      </w:r>
      <w:r>
        <w:rPr>
          <w:rFonts w:ascii="David" w:hAnsi="David" w:hint="cs"/>
          <w:noProof w:val="0"/>
          <w:sz w:val="26"/>
          <w:szCs w:val="26"/>
          <w:rtl/>
        </w:rPr>
        <w:t>, ודין הטענה ל</w:t>
      </w:r>
      <w:r w:rsidR="00441E32">
        <w:rPr>
          <w:rFonts w:ascii="David" w:hAnsi="David" w:hint="cs"/>
          <w:noProof w:val="0"/>
          <w:sz w:val="26"/>
          <w:szCs w:val="26"/>
          <w:rtl/>
        </w:rPr>
        <w:t>הידחות</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לדידי, יש לפרש את המילה "</w:t>
      </w:r>
      <w:r w:rsidRPr="00B966EA">
        <w:rPr>
          <w:rFonts w:ascii="David" w:hAnsi="David" w:hint="cs"/>
          <w:b/>
          <w:bCs/>
          <w:noProof w:val="0"/>
          <w:sz w:val="26"/>
          <w:szCs w:val="26"/>
          <w:rtl/>
        </w:rPr>
        <w:t>בקשר</w:t>
      </w:r>
      <w:r>
        <w:rPr>
          <w:rFonts w:ascii="David" w:hAnsi="David" w:hint="cs"/>
          <w:noProof w:val="0"/>
          <w:sz w:val="26"/>
          <w:szCs w:val="26"/>
          <w:rtl/>
        </w:rPr>
        <w:t>" בפרשנות מצמצמת, הדורשת קשר ישיר ואינטגרלי עם פעולת הכניסה והיציאה, ולא די כי השירות ניתן במסגרת הכניסה או היציאה מישראל.</w:t>
      </w:r>
    </w:p>
    <w:p w:rsidR="00112166" w:rsidRDefault="00112166" w:rsidP="00112166">
      <w:pPr>
        <w:numPr>
          <w:ilvl w:val="0"/>
          <w:numId w:val="1"/>
        </w:numPr>
        <w:spacing w:after="240" w:line="360" w:lineRule="auto"/>
        <w:jc w:val="both"/>
        <w:rPr>
          <w:rFonts w:ascii="David" w:hAnsi="David"/>
          <w:noProof w:val="0"/>
          <w:sz w:val="26"/>
          <w:szCs w:val="26"/>
        </w:rPr>
      </w:pPr>
      <w:r w:rsidRPr="00F914EC">
        <w:rPr>
          <w:rFonts w:ascii="David" w:hAnsi="David" w:hint="cs"/>
          <w:b/>
          <w:bCs/>
          <w:noProof w:val="0"/>
          <w:sz w:val="26"/>
          <w:szCs w:val="26"/>
          <w:rtl/>
        </w:rPr>
        <w:t>ראשית</w:t>
      </w:r>
      <w:r w:rsidRPr="00F914EC">
        <w:rPr>
          <w:rFonts w:ascii="David" w:hAnsi="David" w:hint="cs"/>
          <w:noProof w:val="0"/>
          <w:sz w:val="26"/>
          <w:szCs w:val="26"/>
          <w:rtl/>
        </w:rPr>
        <w:t>, נראה כי זהו הגיונם הפשוט של הדברים.</w:t>
      </w:r>
      <w:r>
        <w:rPr>
          <w:rFonts w:ascii="David" w:hAnsi="David" w:hint="cs"/>
          <w:noProof w:val="0"/>
          <w:sz w:val="26"/>
          <w:szCs w:val="26"/>
          <w:rtl/>
        </w:rPr>
        <w:t xml:space="preserve"> תכליתו של החוק היא להקל על הכניסה לישראל או היציאה מישראל של כלי הטיס והנוסעים בהם. זאת, באמצעות הטבה בדמות מע"מ בשיעור אפס על שירותים שמעניקה הרשות אשר מאפשרים את הפעולות הללו</w:t>
      </w:r>
      <w:r w:rsidRPr="00363B31">
        <w:rPr>
          <w:rFonts w:ascii="David" w:hAnsi="David"/>
          <w:noProof w:val="0"/>
          <w:sz w:val="26"/>
          <w:szCs w:val="26"/>
          <w:rtl/>
        </w:rPr>
        <w:t>.</w:t>
      </w:r>
      <w:r>
        <w:rPr>
          <w:rFonts w:ascii="David" w:hAnsi="David" w:hint="cs"/>
          <w:noProof w:val="0"/>
          <w:sz w:val="26"/>
          <w:szCs w:val="26"/>
          <w:rtl/>
        </w:rPr>
        <w:t xml:space="preserve"> עם זאת,</w:t>
      </w:r>
      <w:r w:rsidRPr="00F914EC">
        <w:rPr>
          <w:rFonts w:ascii="David" w:hAnsi="David" w:hint="cs"/>
          <w:noProof w:val="0"/>
          <w:sz w:val="26"/>
          <w:szCs w:val="26"/>
          <w:rtl/>
        </w:rPr>
        <w:t xml:space="preserve"> אין מקום לפטור מתשלום מע"מ</w:t>
      </w:r>
      <w:r>
        <w:rPr>
          <w:rFonts w:ascii="David" w:hAnsi="David" w:hint="cs"/>
          <w:noProof w:val="0"/>
          <w:sz w:val="26"/>
          <w:szCs w:val="26"/>
          <w:rtl/>
        </w:rPr>
        <w:t xml:space="preserve">, גם את הרשות עצמה, בגין </w:t>
      </w:r>
      <w:r w:rsidRPr="00F914EC">
        <w:rPr>
          <w:rFonts w:ascii="David" w:hAnsi="David" w:hint="cs"/>
          <w:noProof w:val="0"/>
          <w:sz w:val="26"/>
          <w:szCs w:val="26"/>
          <w:rtl/>
        </w:rPr>
        <w:t>פעילויות כלכליות נלוות</w:t>
      </w:r>
      <w:r>
        <w:rPr>
          <w:rFonts w:ascii="David" w:hAnsi="David" w:hint="cs"/>
          <w:noProof w:val="0"/>
          <w:sz w:val="26"/>
          <w:szCs w:val="26"/>
          <w:rtl/>
        </w:rPr>
        <w:t>,</w:t>
      </w:r>
      <w:r w:rsidRPr="00F914EC">
        <w:rPr>
          <w:rFonts w:ascii="David" w:hAnsi="David" w:hint="cs"/>
          <w:noProof w:val="0"/>
          <w:sz w:val="26"/>
          <w:szCs w:val="26"/>
          <w:rtl/>
        </w:rPr>
        <w:t xml:space="preserve"> </w:t>
      </w:r>
      <w:r>
        <w:rPr>
          <w:rFonts w:ascii="David" w:hAnsi="David" w:hint="cs"/>
          <w:noProof w:val="0"/>
          <w:sz w:val="26"/>
          <w:szCs w:val="26"/>
          <w:rtl/>
        </w:rPr>
        <w:t>שאינן קשורות באופן ישיר לעצם הכניסה או היציאה ולליבת פעילותה של הרשות. תכלית החוק אינה עידוד פעילות עסקית-מסחרית מעין זו, שאך ורק נלווית לפעולת היציאה או הכניסה.</w:t>
      </w:r>
    </w:p>
    <w:p w:rsidR="00112166" w:rsidRPr="00E069A8" w:rsidRDefault="00112166" w:rsidP="00112166">
      <w:pPr>
        <w:pStyle w:val="af"/>
        <w:numPr>
          <w:ilvl w:val="0"/>
          <w:numId w:val="1"/>
        </w:numPr>
        <w:spacing w:after="240" w:line="360" w:lineRule="auto"/>
        <w:jc w:val="both"/>
        <w:rPr>
          <w:rFonts w:ascii="David" w:hAnsi="David"/>
          <w:noProof w:val="0"/>
          <w:sz w:val="26"/>
          <w:szCs w:val="26"/>
        </w:rPr>
      </w:pPr>
      <w:r w:rsidRPr="00E069A8">
        <w:rPr>
          <w:rFonts w:ascii="David" w:hAnsi="David" w:hint="cs"/>
          <w:noProof w:val="0"/>
          <w:sz w:val="26"/>
          <w:szCs w:val="26"/>
          <w:rtl/>
        </w:rPr>
        <w:lastRenderedPageBreak/>
        <w:t xml:space="preserve">כל פרשנות אחרת משמעה למעשה מעין </w:t>
      </w:r>
      <w:r w:rsidRPr="00E069A8">
        <w:rPr>
          <w:rFonts w:ascii="David" w:hAnsi="David"/>
          <w:noProof w:val="0"/>
          <w:sz w:val="26"/>
          <w:szCs w:val="26"/>
        </w:rPr>
        <w:t>"</w:t>
      </w:r>
      <w:r w:rsidRPr="00E069A8">
        <w:rPr>
          <w:rFonts w:ascii="David" w:hAnsi="David" w:hint="cs"/>
          <w:noProof w:val="0"/>
          <w:sz w:val="26"/>
          <w:szCs w:val="26"/>
        </w:rPr>
        <w:t>C</w:t>
      </w:r>
      <w:r w:rsidRPr="00E069A8">
        <w:rPr>
          <w:rFonts w:ascii="David" w:hAnsi="David"/>
          <w:noProof w:val="0"/>
          <w:sz w:val="26"/>
          <w:szCs w:val="26"/>
        </w:rPr>
        <w:t>arte blanche"</w:t>
      </w:r>
      <w:r w:rsidRPr="00E069A8">
        <w:rPr>
          <w:rFonts w:ascii="David" w:hAnsi="David" w:hint="cs"/>
          <w:noProof w:val="0"/>
          <w:sz w:val="26"/>
          <w:szCs w:val="26"/>
          <w:rtl/>
        </w:rPr>
        <w:t xml:space="preserve"> לרשות להפעיל עסקים בנמלי התעופה למטרות רווח, תוך חיובה במע"מ בשיעור אפס. </w:t>
      </w:r>
      <w:r w:rsidRPr="004F3313">
        <w:rPr>
          <w:rFonts w:ascii="David" w:hAnsi="David" w:hint="cs"/>
          <w:noProof w:val="0"/>
          <w:sz w:val="26"/>
          <w:szCs w:val="26"/>
          <w:rtl/>
        </w:rPr>
        <w:t xml:space="preserve">הרי כל שירות שניתן בנתב"ג </w:t>
      </w:r>
      <w:r>
        <w:rPr>
          <w:rFonts w:ascii="David" w:hAnsi="David" w:hint="cs"/>
          <w:noProof w:val="0"/>
          <w:sz w:val="26"/>
          <w:szCs w:val="26"/>
          <w:rtl/>
        </w:rPr>
        <w:t>(מתוקף</w:t>
      </w:r>
      <w:r w:rsidRPr="004F3313">
        <w:rPr>
          <w:rFonts w:ascii="David" w:hAnsi="David" w:hint="cs"/>
          <w:noProof w:val="0"/>
          <w:sz w:val="26"/>
          <w:szCs w:val="26"/>
          <w:rtl/>
        </w:rPr>
        <w:t xml:space="preserve"> הסכמי זכיינות עם הרשות</w:t>
      </w:r>
      <w:r>
        <w:rPr>
          <w:rFonts w:ascii="David" w:hAnsi="David" w:hint="cs"/>
          <w:noProof w:val="0"/>
          <w:sz w:val="26"/>
          <w:szCs w:val="26"/>
          <w:rtl/>
        </w:rPr>
        <w:t>)</w:t>
      </w:r>
      <w:r w:rsidRPr="004F3313">
        <w:rPr>
          <w:rFonts w:ascii="David" w:hAnsi="David" w:hint="cs"/>
          <w:noProof w:val="0"/>
          <w:sz w:val="26"/>
          <w:szCs w:val="26"/>
          <w:rtl/>
        </w:rPr>
        <w:t xml:space="preserve"> קשור באופן כזה או אחר ליציאה או </w:t>
      </w:r>
      <w:r>
        <w:rPr>
          <w:rFonts w:ascii="David" w:hAnsi="David" w:hint="cs"/>
          <w:noProof w:val="0"/>
          <w:sz w:val="26"/>
          <w:szCs w:val="26"/>
          <w:rtl/>
        </w:rPr>
        <w:t>ל</w:t>
      </w:r>
      <w:r w:rsidRPr="004F3313">
        <w:rPr>
          <w:rFonts w:ascii="David" w:hAnsi="David" w:hint="cs"/>
          <w:noProof w:val="0"/>
          <w:sz w:val="26"/>
          <w:szCs w:val="26"/>
          <w:rtl/>
        </w:rPr>
        <w:t xml:space="preserve">כניסה לישראל של נוסעים. </w:t>
      </w:r>
      <w:r>
        <w:rPr>
          <w:rFonts w:ascii="David" w:hAnsi="David" w:hint="cs"/>
          <w:noProof w:val="0"/>
          <w:sz w:val="26"/>
          <w:szCs w:val="26"/>
          <w:rtl/>
        </w:rPr>
        <w:t>חוסר הבחנה</w:t>
      </w:r>
      <w:r w:rsidRPr="004F3313">
        <w:rPr>
          <w:rFonts w:ascii="David" w:hAnsi="David" w:hint="cs"/>
          <w:noProof w:val="0"/>
          <w:sz w:val="26"/>
          <w:szCs w:val="26"/>
          <w:rtl/>
        </w:rPr>
        <w:t xml:space="preserve"> בין שירותים נחוצים ובין שירותים שאינם נחוצים</w:t>
      </w:r>
      <w:r>
        <w:rPr>
          <w:rFonts w:ascii="David" w:hAnsi="David" w:hint="cs"/>
          <w:noProof w:val="0"/>
          <w:sz w:val="26"/>
          <w:szCs w:val="26"/>
          <w:rtl/>
        </w:rPr>
        <w:t xml:space="preserve"> משמעו כי </w:t>
      </w:r>
      <w:r w:rsidRPr="004F3313">
        <w:rPr>
          <w:rFonts w:ascii="David" w:hAnsi="David" w:hint="cs"/>
          <w:noProof w:val="0"/>
          <w:sz w:val="26"/>
          <w:szCs w:val="26"/>
          <w:rtl/>
        </w:rPr>
        <w:t>מרבית</w:t>
      </w:r>
      <w:r w:rsidR="0067153E">
        <w:rPr>
          <w:rFonts w:ascii="David" w:hAnsi="David" w:hint="cs"/>
          <w:noProof w:val="0"/>
          <w:sz w:val="26"/>
          <w:szCs w:val="26"/>
          <w:rtl/>
        </w:rPr>
        <w:t>,</w:t>
      </w:r>
      <w:r w:rsidRPr="004F3313">
        <w:rPr>
          <w:rFonts w:ascii="David" w:hAnsi="David" w:hint="cs"/>
          <w:noProof w:val="0"/>
          <w:sz w:val="26"/>
          <w:szCs w:val="26"/>
          <w:rtl/>
        </w:rPr>
        <w:t xml:space="preserve"> אם לא כל</w:t>
      </w:r>
      <w:r w:rsidR="0067153E">
        <w:rPr>
          <w:rFonts w:ascii="David" w:hAnsi="David" w:hint="cs"/>
          <w:noProof w:val="0"/>
          <w:sz w:val="26"/>
          <w:szCs w:val="26"/>
          <w:rtl/>
        </w:rPr>
        <w:t>,</w:t>
      </w:r>
      <w:r w:rsidRPr="004F3313">
        <w:rPr>
          <w:rFonts w:ascii="David" w:hAnsi="David" w:hint="cs"/>
          <w:noProof w:val="0"/>
          <w:sz w:val="26"/>
          <w:szCs w:val="26"/>
          <w:rtl/>
        </w:rPr>
        <w:t xml:space="preserve"> השירותים הניתנים בנתב"ג יהיו חייבים במע"מ בשיעור אפס.</w:t>
      </w:r>
      <w:r>
        <w:rPr>
          <w:rFonts w:ascii="David" w:hAnsi="David" w:hint="cs"/>
          <w:noProof w:val="0"/>
          <w:sz w:val="26"/>
          <w:szCs w:val="26"/>
          <w:rtl/>
        </w:rPr>
        <w:t xml:space="preserve"> </w:t>
      </w:r>
      <w:r w:rsidRPr="00E069A8">
        <w:rPr>
          <w:rFonts w:ascii="David" w:hAnsi="David" w:hint="cs"/>
          <w:noProof w:val="0"/>
          <w:sz w:val="26"/>
          <w:szCs w:val="26"/>
          <w:rtl/>
        </w:rPr>
        <w:t xml:space="preserve">לצורך העניין, אם הרשות תקים בית קולנוע על מנת להנעים את זמנם של היוצאים מישראל, האם המס על עסקאות בית הקולנוע יהיה בשיעור אפס? אני סבורה שלא (וכך סובר גם נציג המערערת, וראו עמ' 43, ש' 19 </w:t>
      </w:r>
      <w:r w:rsidRPr="00E069A8">
        <w:rPr>
          <w:rFonts w:ascii="David" w:hAnsi="David"/>
          <w:noProof w:val="0"/>
          <w:sz w:val="26"/>
          <w:szCs w:val="26"/>
          <w:rtl/>
        </w:rPr>
        <w:t>–</w:t>
      </w:r>
      <w:r w:rsidRPr="00E069A8">
        <w:rPr>
          <w:rFonts w:ascii="David" w:hAnsi="David" w:hint="cs"/>
          <w:noProof w:val="0"/>
          <w:sz w:val="26"/>
          <w:szCs w:val="26"/>
          <w:rtl/>
        </w:rPr>
        <w:t xml:space="preserve"> 23 לפרוטוקול).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ראוי להדגיש כי גם המערערת מסכימה כי לא כל השירותים שנותנת הרשות חייבים במע"מ בשיעור אפס (סעיף 33 לסיכומי המערערת). על אף זאת, ונראה שלא בכדי, המערערת לא הביאה ולו דוגמה אחת לשירות שהרשות מחויבת או צריכה להיות מחויבת במע"מ מלא בגינו. </w:t>
      </w:r>
      <w:r w:rsidRPr="004F3313">
        <w:rPr>
          <w:rFonts w:ascii="David" w:hAnsi="David" w:hint="cs"/>
          <w:noProof w:val="0"/>
          <w:sz w:val="26"/>
          <w:szCs w:val="26"/>
          <w:rtl/>
        </w:rPr>
        <w:t xml:space="preserve">ואכן, אם יש מקום להעניק הטבה בדמות מע"מ בשיעור אפס גם לשירותים שאינם נחוצים לצורך כניסה או יציאה מישראל, באיזה מקרה יש </w:t>
      </w:r>
      <w:r>
        <w:rPr>
          <w:rFonts w:ascii="David" w:hAnsi="David" w:hint="cs"/>
          <w:noProof w:val="0"/>
          <w:sz w:val="26"/>
          <w:szCs w:val="26"/>
          <w:rtl/>
        </w:rPr>
        <w:t>להחיל מע"מ בשיעור מלא על הרשות?</w:t>
      </w:r>
    </w:p>
    <w:p w:rsidR="00112166" w:rsidRPr="002621DA"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כמו כן, פרשנות שאינה מבחינה בין סוגי הפעילות עלולה להביא ל</w:t>
      </w:r>
      <w:r w:rsidRPr="00F914EC">
        <w:rPr>
          <w:rFonts w:ascii="David" w:hAnsi="David" w:hint="cs"/>
          <w:noProof w:val="0"/>
          <w:sz w:val="26"/>
          <w:szCs w:val="26"/>
          <w:rtl/>
        </w:rPr>
        <w:t>תחרות בלתי הוגנת</w:t>
      </w:r>
      <w:r>
        <w:rPr>
          <w:rFonts w:ascii="David" w:hAnsi="David" w:hint="cs"/>
          <w:noProof w:val="0"/>
          <w:sz w:val="26"/>
          <w:szCs w:val="26"/>
          <w:rtl/>
        </w:rPr>
        <w:t xml:space="preserve"> של הרשות או הפועלים מכוחה</w:t>
      </w:r>
      <w:r w:rsidRPr="00F914EC">
        <w:rPr>
          <w:rFonts w:ascii="David" w:hAnsi="David" w:hint="cs"/>
          <w:noProof w:val="0"/>
          <w:sz w:val="26"/>
          <w:szCs w:val="26"/>
          <w:rtl/>
        </w:rPr>
        <w:t xml:space="preserve"> </w:t>
      </w:r>
      <w:r>
        <w:rPr>
          <w:rFonts w:ascii="David" w:hAnsi="David" w:hint="cs"/>
          <w:noProof w:val="0"/>
          <w:sz w:val="26"/>
          <w:szCs w:val="26"/>
          <w:rtl/>
        </w:rPr>
        <w:t xml:space="preserve">אל מול </w:t>
      </w:r>
      <w:r w:rsidRPr="00F914EC">
        <w:rPr>
          <w:rFonts w:ascii="David" w:hAnsi="David" w:hint="cs"/>
          <w:noProof w:val="0"/>
          <w:sz w:val="26"/>
          <w:szCs w:val="26"/>
          <w:rtl/>
        </w:rPr>
        <w:t>עוסקים אחרים שמספקים שירותים לנוסעים ומשלמים בגינם מע"מ מלא, למשל בתי הקפה והמסעדות שבנתב"ג והסביבה (</w:t>
      </w:r>
      <w:r>
        <w:rPr>
          <w:rFonts w:ascii="David" w:hAnsi="David" w:hint="cs"/>
          <w:noProof w:val="0"/>
          <w:sz w:val="26"/>
          <w:szCs w:val="26"/>
          <w:rtl/>
        </w:rPr>
        <w:t xml:space="preserve">וראו האמור בפס' ז' למבוא להצעת </w:t>
      </w:r>
      <w:r w:rsidRPr="00F914EC">
        <w:rPr>
          <w:rFonts w:ascii="David" w:hAnsi="David" w:hint="cs"/>
          <w:noProof w:val="0"/>
          <w:sz w:val="26"/>
          <w:szCs w:val="26"/>
          <w:rtl/>
        </w:rPr>
        <w:t>חוק</w:t>
      </w:r>
      <w:r>
        <w:rPr>
          <w:rFonts w:ascii="David" w:hAnsi="David" w:hint="cs"/>
          <w:noProof w:val="0"/>
          <w:sz w:val="26"/>
          <w:szCs w:val="26"/>
          <w:rtl/>
        </w:rPr>
        <w:t xml:space="preserve"> מס ערך מוסף, התשל"ה-1975, ה"ח הממשלה 239 (להלן: "</w:t>
      </w:r>
      <w:r w:rsidRPr="004A37C0">
        <w:rPr>
          <w:rFonts w:ascii="David" w:hAnsi="David" w:hint="cs"/>
          <w:b/>
          <w:bCs/>
          <w:noProof w:val="0"/>
          <w:sz w:val="26"/>
          <w:szCs w:val="26"/>
          <w:rtl/>
        </w:rPr>
        <w:t>הצעת חוק מע"מ</w:t>
      </w:r>
      <w:r>
        <w:rPr>
          <w:rFonts w:ascii="David" w:hAnsi="David" w:hint="cs"/>
          <w:noProof w:val="0"/>
          <w:sz w:val="26"/>
          <w:szCs w:val="26"/>
          <w:rtl/>
        </w:rPr>
        <w:t>")</w:t>
      </w:r>
      <w:r w:rsidRPr="00F914EC">
        <w:rPr>
          <w:rFonts w:ascii="David" w:hAnsi="David" w:hint="cs"/>
          <w:noProof w:val="0"/>
          <w:sz w:val="26"/>
          <w:szCs w:val="26"/>
          <w:rtl/>
        </w:rPr>
        <w:t>: "</w:t>
      </w:r>
      <w:r w:rsidRPr="00D21055">
        <w:rPr>
          <w:rFonts w:ascii="David" w:hAnsi="David"/>
          <w:b/>
          <w:bCs/>
          <w:noProof w:val="0"/>
          <w:spacing w:val="20"/>
          <w:sz w:val="26"/>
          <w:szCs w:val="26"/>
          <w:rtl/>
        </w:rPr>
        <w:t>מ</w:t>
      </w:r>
      <w:r w:rsidRPr="00D21055">
        <w:rPr>
          <w:rFonts w:ascii="David" w:hAnsi="David" w:hint="cs"/>
          <w:b/>
          <w:bCs/>
          <w:noProof w:val="0"/>
          <w:spacing w:val="20"/>
          <w:sz w:val="26"/>
          <w:szCs w:val="26"/>
          <w:rtl/>
        </w:rPr>
        <w:t>ס</w:t>
      </w:r>
      <w:r w:rsidRPr="00D21055">
        <w:rPr>
          <w:rFonts w:ascii="David" w:hAnsi="David"/>
          <w:b/>
          <w:bCs/>
          <w:noProof w:val="0"/>
          <w:spacing w:val="20"/>
          <w:sz w:val="26"/>
          <w:szCs w:val="26"/>
          <w:rtl/>
        </w:rPr>
        <w:t xml:space="preserve"> על הסקטור הציבורי</w:t>
      </w:r>
      <w:r w:rsidRPr="00F914EC">
        <w:rPr>
          <w:rFonts w:ascii="David" w:hAnsi="David"/>
          <w:b/>
          <w:bCs/>
          <w:noProof w:val="0"/>
          <w:sz w:val="26"/>
          <w:szCs w:val="26"/>
          <w:rtl/>
        </w:rPr>
        <w:t>. המ</w:t>
      </w:r>
      <w:r w:rsidRPr="00F914EC">
        <w:rPr>
          <w:rFonts w:ascii="David" w:hAnsi="David" w:hint="cs"/>
          <w:b/>
          <w:bCs/>
          <w:noProof w:val="0"/>
          <w:sz w:val="26"/>
          <w:szCs w:val="26"/>
          <w:rtl/>
        </w:rPr>
        <w:t>ס</w:t>
      </w:r>
      <w:r w:rsidRPr="00F914EC">
        <w:rPr>
          <w:rFonts w:ascii="David" w:hAnsi="David"/>
          <w:b/>
          <w:bCs/>
          <w:noProof w:val="0"/>
          <w:sz w:val="26"/>
          <w:szCs w:val="26"/>
          <w:rtl/>
        </w:rPr>
        <w:t xml:space="preserve"> יו</w:t>
      </w:r>
      <w:r w:rsidRPr="00F914EC">
        <w:rPr>
          <w:rFonts w:ascii="David" w:hAnsi="David" w:hint="cs"/>
          <w:b/>
          <w:bCs/>
          <w:noProof w:val="0"/>
          <w:sz w:val="26"/>
          <w:szCs w:val="26"/>
          <w:rtl/>
        </w:rPr>
        <w:t>ט</w:t>
      </w:r>
      <w:r w:rsidRPr="00F914EC">
        <w:rPr>
          <w:rFonts w:ascii="David" w:hAnsi="David"/>
          <w:b/>
          <w:bCs/>
          <w:noProof w:val="0"/>
          <w:sz w:val="26"/>
          <w:szCs w:val="26"/>
          <w:rtl/>
        </w:rPr>
        <w:t>ל גם על המדינה</w:t>
      </w:r>
      <w:r w:rsidRPr="00F914EC">
        <w:rPr>
          <w:rFonts w:ascii="David" w:hAnsi="David" w:hint="cs"/>
          <w:b/>
          <w:bCs/>
          <w:noProof w:val="0"/>
          <w:sz w:val="26"/>
          <w:szCs w:val="26"/>
          <w:rtl/>
        </w:rPr>
        <w:t>,</w:t>
      </w:r>
      <w:r w:rsidRPr="00F914EC">
        <w:rPr>
          <w:rFonts w:ascii="David" w:hAnsi="David"/>
          <w:b/>
          <w:bCs/>
          <w:noProof w:val="0"/>
          <w:sz w:val="26"/>
          <w:szCs w:val="26"/>
          <w:rtl/>
        </w:rPr>
        <w:t xml:space="preserve"> על הרשויות המקומיות ועל כל הגורמים הציבוריים האחרים אף אם אין הם גופים עסקיים. על ידי כך לא יועדף הסקטור הציבורי על ידי שיעורי מס נמוכים יותר</w:t>
      </w:r>
      <w:r w:rsidRPr="00F914EC">
        <w:rPr>
          <w:rFonts w:ascii="David" w:hAnsi="David" w:hint="cs"/>
          <w:noProof w:val="0"/>
          <w:sz w:val="26"/>
          <w:szCs w:val="26"/>
          <w:rtl/>
        </w:rPr>
        <w:t>".</w:t>
      </w:r>
      <w:r>
        <w:rPr>
          <w:rFonts w:ascii="David" w:hAnsi="David" w:hint="cs"/>
          <w:noProof w:val="0"/>
          <w:sz w:val="26"/>
          <w:szCs w:val="26"/>
          <w:rtl/>
        </w:rPr>
        <w:t xml:space="preserve"> </w:t>
      </w:r>
      <w:r w:rsidRPr="00F914EC">
        <w:rPr>
          <w:rFonts w:ascii="David" w:hAnsi="David" w:hint="cs"/>
          <w:noProof w:val="0"/>
          <w:sz w:val="26"/>
          <w:szCs w:val="26"/>
          <w:rtl/>
        </w:rPr>
        <w:t xml:space="preserve">כן השוו להסדרים שנקבעו בסעיף 9(2) לפקודת מס הכנסה [נוסח חדש] התשכ"א-1961 ולתכליות העומדות בבסיסם, וראו לעניין זה </w:t>
      </w:r>
      <w:r w:rsidRPr="00F914EC">
        <w:rPr>
          <w:rFonts w:ascii="David" w:hAnsi="David"/>
          <w:noProof w:val="0"/>
          <w:sz w:val="26"/>
          <w:szCs w:val="26"/>
          <w:rtl/>
        </w:rPr>
        <w:t xml:space="preserve">ע"מ (מחוזי </w:t>
      </w:r>
      <w:r w:rsidRPr="00F914EC">
        <w:rPr>
          <w:rFonts w:ascii="David" w:hAnsi="David" w:hint="cs"/>
          <w:noProof w:val="0"/>
          <w:sz w:val="26"/>
          <w:szCs w:val="26"/>
          <w:rtl/>
        </w:rPr>
        <w:t>ת"א</w:t>
      </w:r>
      <w:r w:rsidRPr="00F914EC">
        <w:rPr>
          <w:rFonts w:ascii="David" w:hAnsi="David"/>
          <w:noProof w:val="0"/>
          <w:sz w:val="26"/>
          <w:szCs w:val="26"/>
          <w:rtl/>
        </w:rPr>
        <w:t xml:space="preserve">) 59050-01-20 </w:t>
      </w:r>
      <w:r w:rsidRPr="00F914EC">
        <w:rPr>
          <w:rFonts w:ascii="David" w:hAnsi="David"/>
          <w:b/>
          <w:bCs/>
          <w:noProof w:val="0"/>
          <w:sz w:val="26"/>
          <w:szCs w:val="26"/>
          <w:rtl/>
        </w:rPr>
        <w:t>קרן עזריאלי (ישראל) ע"ר נ' פקיד שומה תל אביב 5</w:t>
      </w:r>
      <w:r w:rsidRPr="00F914EC">
        <w:rPr>
          <w:rFonts w:ascii="David" w:hAnsi="David" w:hint="cs"/>
          <w:noProof w:val="0"/>
          <w:sz w:val="26"/>
          <w:szCs w:val="26"/>
          <w:rtl/>
        </w:rPr>
        <w:t>, פס' 60</w:t>
      </w:r>
      <w:r w:rsidRPr="00F914EC">
        <w:rPr>
          <w:rFonts w:ascii="David" w:hAnsi="David"/>
          <w:noProof w:val="0"/>
          <w:sz w:val="26"/>
          <w:szCs w:val="26"/>
          <w:rtl/>
        </w:rPr>
        <w:t xml:space="preserve"> (9.9.2021)</w:t>
      </w:r>
      <w:r w:rsidRPr="00F914EC">
        <w:rPr>
          <w:rFonts w:ascii="David" w:hAnsi="David" w:hint="cs"/>
          <w:noProof w:val="0"/>
          <w:sz w:val="26"/>
          <w:szCs w:val="26"/>
          <w:rtl/>
        </w:rPr>
        <w:t xml:space="preserve">). </w:t>
      </w:r>
    </w:p>
    <w:p w:rsidR="00112166" w:rsidRPr="00D11848"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גם לא ראיתי מקום מיוחד לעודד את שירותי הטרקלין. מדובר במיזם עסקי </w:t>
      </w:r>
      <w:r w:rsidRPr="00D11848">
        <w:rPr>
          <w:rFonts w:ascii="David" w:hAnsi="David" w:hint="cs"/>
          <w:noProof w:val="0"/>
          <w:sz w:val="26"/>
          <w:szCs w:val="26"/>
          <w:rtl/>
        </w:rPr>
        <w:t xml:space="preserve">לכל דבר ועניין </w:t>
      </w:r>
      <w:r>
        <w:rPr>
          <w:rFonts w:ascii="David" w:hAnsi="David" w:hint="cs"/>
          <w:noProof w:val="0"/>
          <w:sz w:val="26"/>
          <w:szCs w:val="26"/>
          <w:rtl/>
        </w:rPr>
        <w:t>אשר המערערת מפעילה מתוך כוונת רווח כלכלי גרידא.</w:t>
      </w:r>
      <w:r w:rsidRPr="002A62A0">
        <w:rPr>
          <w:rFonts w:ascii="David" w:hAnsi="David" w:hint="cs"/>
          <w:noProof w:val="0"/>
          <w:sz w:val="26"/>
          <w:szCs w:val="26"/>
          <w:rtl/>
        </w:rPr>
        <w:t xml:space="preserve"> </w:t>
      </w:r>
      <w:r>
        <w:rPr>
          <w:rFonts w:ascii="David" w:hAnsi="David" w:hint="cs"/>
          <w:noProof w:val="0"/>
          <w:sz w:val="26"/>
          <w:szCs w:val="26"/>
          <w:rtl/>
        </w:rPr>
        <w:t>וראו האמור בסעיף 49 לסיכומי המערערת, כי מדובר ב"</w:t>
      </w:r>
      <w:r w:rsidRPr="002C39D3">
        <w:rPr>
          <w:rFonts w:ascii="David" w:hAnsi="David" w:hint="cs"/>
          <w:b/>
          <w:bCs/>
          <w:noProof w:val="0"/>
          <w:sz w:val="26"/>
          <w:szCs w:val="26"/>
          <w:rtl/>
        </w:rPr>
        <w:t>זכות שניתנה בחוק לרש"ת, וערך כלכלי רב בצדה</w:t>
      </w:r>
      <w:r>
        <w:rPr>
          <w:rFonts w:ascii="David" w:hAnsi="David" w:hint="cs"/>
          <w:noProof w:val="0"/>
          <w:sz w:val="26"/>
          <w:szCs w:val="26"/>
          <w:rtl/>
        </w:rPr>
        <w:t xml:space="preserve">". </w:t>
      </w:r>
      <w:r w:rsidRPr="00D11848">
        <w:rPr>
          <w:rFonts w:ascii="David" w:hAnsi="David" w:hint="cs"/>
          <w:noProof w:val="0"/>
          <w:sz w:val="26"/>
          <w:szCs w:val="26"/>
          <w:rtl/>
        </w:rPr>
        <w:t>לא בכדי, הסכם ההרשאה נערך מול חטיבת המסחר, הלוג</w:t>
      </w:r>
      <w:r>
        <w:rPr>
          <w:rFonts w:ascii="David" w:hAnsi="David" w:hint="cs"/>
          <w:noProof w:val="0"/>
          <w:sz w:val="26"/>
          <w:szCs w:val="26"/>
          <w:rtl/>
        </w:rPr>
        <w:t xml:space="preserve">יסטיקה והפיתוח העסקי של הרשות; </w:t>
      </w:r>
      <w:r w:rsidRPr="00D11848">
        <w:rPr>
          <w:rFonts w:ascii="David" w:hAnsi="David" w:hint="cs"/>
          <w:noProof w:val="0"/>
          <w:sz w:val="26"/>
          <w:szCs w:val="26"/>
          <w:rtl/>
        </w:rPr>
        <w:t xml:space="preserve">העתקי ההסכם נשלחו על ידי אחראית המסחר לגורמים השונים ברשות </w:t>
      </w:r>
      <w:r w:rsidRPr="00D11848">
        <w:rPr>
          <w:rFonts w:ascii="David" w:hAnsi="David" w:hint="cs"/>
          <w:noProof w:val="0"/>
          <w:sz w:val="26"/>
          <w:szCs w:val="26"/>
          <w:rtl/>
        </w:rPr>
        <w:lastRenderedPageBreak/>
        <w:t>הקשורים למסח</w:t>
      </w:r>
      <w:r>
        <w:rPr>
          <w:rFonts w:ascii="David" w:hAnsi="David" w:hint="cs"/>
          <w:noProof w:val="0"/>
          <w:sz w:val="26"/>
          <w:szCs w:val="26"/>
          <w:rtl/>
        </w:rPr>
        <w:t xml:space="preserve">ר ולזכיינות; והמערערת עצמה פועלת תחת אחראית הזכיינים ברשות </w:t>
      </w:r>
      <w:r w:rsidRPr="00D11848">
        <w:rPr>
          <w:rFonts w:ascii="David" w:hAnsi="David" w:hint="cs"/>
          <w:noProof w:val="0"/>
          <w:sz w:val="26"/>
          <w:szCs w:val="26"/>
          <w:rtl/>
        </w:rPr>
        <w:t xml:space="preserve">(וראו עמ' 17, ש' 22 </w:t>
      </w:r>
      <w:r w:rsidRPr="00D11848">
        <w:rPr>
          <w:rFonts w:ascii="David" w:hAnsi="David"/>
          <w:noProof w:val="0"/>
          <w:sz w:val="26"/>
          <w:szCs w:val="26"/>
          <w:rtl/>
        </w:rPr>
        <w:t>–</w:t>
      </w:r>
      <w:r w:rsidRPr="00D11848">
        <w:rPr>
          <w:rFonts w:ascii="David" w:hAnsi="David" w:hint="cs"/>
          <w:noProof w:val="0"/>
          <w:sz w:val="26"/>
          <w:szCs w:val="26"/>
          <w:rtl/>
        </w:rPr>
        <w:t xml:space="preserve"> 30; עמ' 29, ש' 5 </w:t>
      </w:r>
      <w:r w:rsidRPr="00D11848">
        <w:rPr>
          <w:rFonts w:ascii="David" w:hAnsi="David"/>
          <w:noProof w:val="0"/>
          <w:sz w:val="26"/>
          <w:szCs w:val="26"/>
          <w:rtl/>
        </w:rPr>
        <w:t>–</w:t>
      </w:r>
      <w:r w:rsidRPr="00D11848">
        <w:rPr>
          <w:rFonts w:ascii="David" w:hAnsi="David" w:hint="cs"/>
          <w:noProof w:val="0"/>
          <w:sz w:val="26"/>
          <w:szCs w:val="26"/>
          <w:rtl/>
        </w:rPr>
        <w:t xml:space="preserve"> 6; עמ' 33, ש' 6 </w:t>
      </w:r>
      <w:r w:rsidRPr="00D11848">
        <w:rPr>
          <w:rFonts w:ascii="David" w:hAnsi="David"/>
          <w:noProof w:val="0"/>
          <w:sz w:val="26"/>
          <w:szCs w:val="26"/>
          <w:rtl/>
        </w:rPr>
        <w:t>–</w:t>
      </w:r>
      <w:r w:rsidRPr="00D11848">
        <w:rPr>
          <w:rFonts w:ascii="David" w:hAnsi="David" w:hint="cs"/>
          <w:noProof w:val="0"/>
          <w:sz w:val="26"/>
          <w:szCs w:val="26"/>
          <w:rtl/>
        </w:rPr>
        <w:t xml:space="preserve"> 7 לפרוטוקול)</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sidRPr="00DA54C2">
        <w:rPr>
          <w:rFonts w:ascii="David" w:hAnsi="David" w:hint="cs"/>
          <w:b/>
          <w:bCs/>
          <w:noProof w:val="0"/>
          <w:sz w:val="26"/>
          <w:szCs w:val="26"/>
          <w:rtl/>
        </w:rPr>
        <w:t>שנית</w:t>
      </w:r>
      <w:r w:rsidRPr="00DA54C2">
        <w:rPr>
          <w:rFonts w:ascii="David" w:hAnsi="David" w:hint="cs"/>
          <w:noProof w:val="0"/>
          <w:sz w:val="26"/>
          <w:szCs w:val="26"/>
          <w:rtl/>
        </w:rPr>
        <w:t xml:space="preserve">, </w:t>
      </w:r>
      <w:r>
        <w:rPr>
          <w:rFonts w:ascii="David" w:hAnsi="David" w:hint="cs"/>
          <w:noProof w:val="0"/>
          <w:sz w:val="26"/>
          <w:szCs w:val="26"/>
          <w:rtl/>
        </w:rPr>
        <w:t>נראה כי זו הייתה</w:t>
      </w:r>
      <w:r w:rsidRPr="00DA54C2">
        <w:rPr>
          <w:rFonts w:ascii="David" w:hAnsi="David" w:hint="cs"/>
          <w:noProof w:val="0"/>
          <w:sz w:val="26"/>
          <w:szCs w:val="26"/>
          <w:rtl/>
        </w:rPr>
        <w:t xml:space="preserve"> כוונת המחוקק</w:t>
      </w:r>
      <w:r>
        <w:rPr>
          <w:rFonts w:ascii="David" w:hAnsi="David" w:hint="cs"/>
          <w:noProof w:val="0"/>
          <w:sz w:val="26"/>
          <w:szCs w:val="26"/>
          <w:rtl/>
        </w:rPr>
        <w:t xml:space="preserve"> בתיקונו את החוק</w:t>
      </w:r>
      <w:r w:rsidRPr="00DA54C2">
        <w:rPr>
          <w:rFonts w:ascii="David" w:hAnsi="David" w:hint="cs"/>
          <w:noProof w:val="0"/>
          <w:sz w:val="26"/>
          <w:szCs w:val="26"/>
          <w:rtl/>
        </w:rPr>
        <w:t xml:space="preserve">. </w:t>
      </w:r>
      <w:r>
        <w:rPr>
          <w:rFonts w:ascii="David" w:hAnsi="David" w:hint="cs"/>
          <w:noProof w:val="0"/>
          <w:sz w:val="26"/>
          <w:szCs w:val="26"/>
          <w:rtl/>
        </w:rPr>
        <w:t>כך נאמר בישיבת ועדת הכספים</w:t>
      </w:r>
      <w:r w:rsidRPr="00DA54C2">
        <w:rPr>
          <w:rFonts w:ascii="David" w:hAnsi="David" w:hint="cs"/>
          <w:noProof w:val="0"/>
          <w:sz w:val="26"/>
          <w:szCs w:val="26"/>
          <w:rtl/>
        </w:rPr>
        <w:t xml:space="preserve"> </w:t>
      </w:r>
      <w:r>
        <w:rPr>
          <w:rFonts w:ascii="David" w:hAnsi="David" w:hint="cs"/>
          <w:noProof w:val="0"/>
          <w:sz w:val="26"/>
          <w:szCs w:val="26"/>
          <w:rtl/>
        </w:rPr>
        <w:t>ש</w:t>
      </w:r>
      <w:r w:rsidRPr="00DA54C2">
        <w:rPr>
          <w:rFonts w:ascii="David" w:hAnsi="David" w:hint="cs"/>
          <w:noProof w:val="0"/>
          <w:sz w:val="26"/>
          <w:szCs w:val="26"/>
          <w:rtl/>
        </w:rPr>
        <w:t>דנה ב</w:t>
      </w:r>
      <w:r w:rsidRPr="00DA54C2">
        <w:rPr>
          <w:rFonts w:ascii="David" w:hAnsi="David"/>
          <w:noProof w:val="0"/>
          <w:sz w:val="26"/>
          <w:szCs w:val="26"/>
          <w:rtl/>
        </w:rPr>
        <w:t>הצעת חוק מס ערך מוסף (תיקון מס' 22), התשס"ב-2001</w:t>
      </w:r>
      <w:r>
        <w:rPr>
          <w:rFonts w:ascii="David" w:hAnsi="David" w:hint="cs"/>
          <w:noProof w:val="0"/>
          <w:sz w:val="26"/>
          <w:szCs w:val="26"/>
          <w:rtl/>
        </w:rPr>
        <w:t>, ה"ח הממשלה 124 (להלן: "</w:t>
      </w:r>
      <w:r>
        <w:rPr>
          <w:rFonts w:ascii="David" w:hAnsi="David" w:hint="cs"/>
          <w:b/>
          <w:bCs/>
          <w:noProof w:val="0"/>
          <w:sz w:val="26"/>
          <w:szCs w:val="26"/>
          <w:rtl/>
        </w:rPr>
        <w:t>הצעת חוק תיקון</w:t>
      </w:r>
      <w:r w:rsidRPr="00721865">
        <w:rPr>
          <w:rFonts w:ascii="David" w:hAnsi="David" w:hint="cs"/>
          <w:b/>
          <w:bCs/>
          <w:noProof w:val="0"/>
          <w:sz w:val="26"/>
          <w:szCs w:val="26"/>
          <w:rtl/>
        </w:rPr>
        <w:t xml:space="preserve"> 22</w:t>
      </w:r>
      <w:r>
        <w:rPr>
          <w:rFonts w:ascii="David" w:hAnsi="David" w:hint="cs"/>
          <w:noProof w:val="0"/>
          <w:sz w:val="26"/>
          <w:szCs w:val="26"/>
          <w:rtl/>
        </w:rPr>
        <w:t>")</w:t>
      </w:r>
      <w:r w:rsidRPr="00DA54C2">
        <w:rPr>
          <w:rFonts w:ascii="David" w:hAnsi="David" w:hint="cs"/>
          <w:noProof w:val="0"/>
          <w:sz w:val="26"/>
          <w:szCs w:val="26"/>
          <w:rtl/>
        </w:rPr>
        <w:t xml:space="preserve">, שבמסגרתה הוספו לסעיף 30(א)(6)(א) </w:t>
      </w:r>
      <w:r>
        <w:rPr>
          <w:rFonts w:ascii="David" w:hAnsi="David" w:hint="cs"/>
          <w:noProof w:val="0"/>
          <w:sz w:val="26"/>
          <w:szCs w:val="26"/>
          <w:rtl/>
        </w:rPr>
        <w:t xml:space="preserve">לחוק </w:t>
      </w:r>
      <w:r w:rsidRPr="00DA54C2">
        <w:rPr>
          <w:rFonts w:ascii="David" w:hAnsi="David" w:hint="cs"/>
          <w:noProof w:val="0"/>
          <w:sz w:val="26"/>
          <w:szCs w:val="26"/>
          <w:rtl/>
        </w:rPr>
        <w:t>המילים "</w:t>
      </w:r>
      <w:r w:rsidRPr="00DA54C2">
        <w:rPr>
          <w:rFonts w:ascii="David" w:hAnsi="David"/>
          <w:b/>
          <w:bCs/>
          <w:noProof w:val="0"/>
          <w:sz w:val="26"/>
          <w:szCs w:val="26"/>
          <w:rtl/>
        </w:rPr>
        <w:t>או לנוסע בהם בקשר לכניסתו לישראל או</w:t>
      </w:r>
      <w:r w:rsidRPr="00DA54C2">
        <w:rPr>
          <w:rFonts w:ascii="David" w:hAnsi="David" w:hint="cs"/>
          <w:b/>
          <w:bCs/>
          <w:noProof w:val="0"/>
          <w:sz w:val="26"/>
          <w:szCs w:val="26"/>
          <w:rtl/>
        </w:rPr>
        <w:t xml:space="preserve"> </w:t>
      </w:r>
      <w:r w:rsidRPr="00DA54C2">
        <w:rPr>
          <w:rFonts w:ascii="David" w:hAnsi="David"/>
          <w:b/>
          <w:bCs/>
          <w:noProof w:val="0"/>
          <w:sz w:val="26"/>
          <w:szCs w:val="26"/>
          <w:rtl/>
        </w:rPr>
        <w:t>לי</w:t>
      </w:r>
      <w:r w:rsidRPr="00DA54C2">
        <w:rPr>
          <w:rFonts w:ascii="David" w:hAnsi="David" w:hint="cs"/>
          <w:b/>
          <w:bCs/>
          <w:noProof w:val="0"/>
          <w:sz w:val="26"/>
          <w:szCs w:val="26"/>
          <w:rtl/>
        </w:rPr>
        <w:t>צ</w:t>
      </w:r>
      <w:r w:rsidRPr="00DA54C2">
        <w:rPr>
          <w:rFonts w:ascii="David" w:hAnsi="David"/>
          <w:b/>
          <w:bCs/>
          <w:noProof w:val="0"/>
          <w:sz w:val="26"/>
          <w:szCs w:val="26"/>
          <w:rtl/>
        </w:rPr>
        <w:t>יאתו מישראל</w:t>
      </w:r>
      <w:r>
        <w:rPr>
          <w:rFonts w:ascii="David" w:hAnsi="David" w:hint="cs"/>
          <w:noProof w:val="0"/>
          <w:sz w:val="26"/>
          <w:szCs w:val="26"/>
          <w:rtl/>
        </w:rPr>
        <w:t>":</w:t>
      </w:r>
    </w:p>
    <w:p w:rsidR="00112166" w:rsidRPr="00D45203" w:rsidRDefault="00112166" w:rsidP="00112166">
      <w:pPr>
        <w:spacing w:after="240" w:line="360" w:lineRule="auto"/>
        <w:ind w:left="720"/>
        <w:contextualSpacing/>
        <w:jc w:val="both"/>
        <w:rPr>
          <w:rFonts w:ascii="David" w:hAnsi="David"/>
          <w:b/>
          <w:bCs/>
          <w:noProof w:val="0"/>
          <w:sz w:val="26"/>
          <w:szCs w:val="26"/>
          <w:u w:val="single"/>
          <w:rtl/>
          <w:lang w:eastAsia="he-IL"/>
        </w:rPr>
      </w:pPr>
      <w:r>
        <w:rPr>
          <w:rFonts w:ascii="David" w:hAnsi="David" w:hint="cs"/>
          <w:noProof w:val="0"/>
          <w:sz w:val="26"/>
          <w:szCs w:val="26"/>
          <w:rtl/>
        </w:rPr>
        <w:t>"</w:t>
      </w:r>
      <w:r w:rsidRPr="00D45203">
        <w:rPr>
          <w:rFonts w:ascii="David" w:hAnsi="David"/>
          <w:b/>
          <w:bCs/>
          <w:noProof w:val="0"/>
          <w:sz w:val="26"/>
          <w:szCs w:val="26"/>
          <w:u w:val="single"/>
          <w:rtl/>
          <w:lang w:eastAsia="he-IL"/>
        </w:rPr>
        <w:t>אנה שניידר</w:t>
      </w:r>
      <w:r w:rsidRPr="00D45203">
        <w:rPr>
          <w:rFonts w:ascii="David" w:hAnsi="David" w:hint="cs"/>
          <w:b/>
          <w:bCs/>
          <w:noProof w:val="0"/>
          <w:sz w:val="26"/>
          <w:szCs w:val="26"/>
          <w:u w:val="single"/>
          <w:rtl/>
          <w:lang w:eastAsia="he-IL"/>
        </w:rPr>
        <w:t xml:space="preserve"> [יועצת משפטית </w:t>
      </w:r>
      <w:r w:rsidRPr="00D45203">
        <w:rPr>
          <w:rFonts w:ascii="David" w:hAnsi="David"/>
          <w:b/>
          <w:bCs/>
          <w:noProof w:val="0"/>
          <w:sz w:val="26"/>
          <w:szCs w:val="26"/>
          <w:u w:val="single"/>
          <w:rtl/>
          <w:lang w:eastAsia="he-IL"/>
        </w:rPr>
        <w:t>–</w:t>
      </w:r>
      <w:r w:rsidRPr="00D45203">
        <w:rPr>
          <w:rFonts w:ascii="David" w:hAnsi="David" w:hint="cs"/>
          <w:b/>
          <w:bCs/>
          <w:noProof w:val="0"/>
          <w:sz w:val="26"/>
          <w:szCs w:val="26"/>
          <w:u w:val="single"/>
          <w:rtl/>
          <w:lang w:eastAsia="he-IL"/>
        </w:rPr>
        <w:t xml:space="preserve"> י"ס]</w:t>
      </w:r>
      <w:r w:rsidRPr="00D45203">
        <w:rPr>
          <w:rFonts w:ascii="David" w:hAnsi="David"/>
          <w:b/>
          <w:bCs/>
          <w:noProof w:val="0"/>
          <w:sz w:val="26"/>
          <w:szCs w:val="26"/>
          <w:u w:val="single"/>
          <w:rtl/>
          <w:lang w:eastAsia="he-IL"/>
        </w:rPr>
        <w:t>:</w:t>
      </w:r>
    </w:p>
    <w:p w:rsidR="00112166" w:rsidRPr="00D45203" w:rsidRDefault="00112166" w:rsidP="00112166">
      <w:pPr>
        <w:spacing w:after="240" w:line="360" w:lineRule="auto"/>
        <w:ind w:left="1440"/>
        <w:contextualSpacing/>
        <w:jc w:val="both"/>
        <w:rPr>
          <w:rFonts w:ascii="David" w:hAnsi="David"/>
          <w:b/>
          <w:bCs/>
          <w:noProof w:val="0"/>
          <w:sz w:val="26"/>
          <w:szCs w:val="26"/>
          <w:rtl/>
          <w:lang w:eastAsia="he-IL"/>
        </w:rPr>
      </w:pPr>
      <w:r w:rsidRPr="00D45203">
        <w:rPr>
          <w:rFonts w:ascii="David" w:hAnsi="David"/>
          <w:b/>
          <w:bCs/>
          <w:noProof w:val="0"/>
          <w:sz w:val="26"/>
          <w:szCs w:val="26"/>
          <w:rtl/>
          <w:lang w:eastAsia="he-IL"/>
        </w:rPr>
        <w:t xml:space="preserve">אנחנו עוברים לתיקון סעיף 30 לחוק העיקרי. סעיף 30 לחוק העיקרי הוא אותו סעיף שקובע שיעור אפס על כל מיני עסקאות, בין היתר ייצוא טובין, מכירת נכסים </w:t>
      </w:r>
      <w:r w:rsidR="00441E32">
        <w:rPr>
          <w:rFonts w:ascii="David" w:hAnsi="David" w:hint="cs"/>
          <w:b/>
          <w:bCs/>
          <w:noProof w:val="0"/>
          <w:sz w:val="26"/>
          <w:szCs w:val="26"/>
          <w:rtl/>
          <w:lang w:eastAsia="he-IL"/>
        </w:rPr>
        <w:t>[</w:t>
      </w:r>
      <w:r w:rsidRPr="00D45203">
        <w:rPr>
          <w:rFonts w:ascii="David" w:hAnsi="David"/>
          <w:b/>
          <w:bCs/>
          <w:noProof w:val="0"/>
          <w:sz w:val="26"/>
          <w:szCs w:val="26"/>
          <w:rtl/>
          <w:lang w:eastAsia="he-IL"/>
        </w:rPr>
        <w:t>ל</w:t>
      </w:r>
      <w:r w:rsidR="00441E32">
        <w:rPr>
          <w:rFonts w:ascii="David" w:hAnsi="David" w:hint="cs"/>
          <w:b/>
          <w:bCs/>
          <w:noProof w:val="0"/>
          <w:sz w:val="26"/>
          <w:szCs w:val="26"/>
          <w:rtl/>
          <w:lang w:eastAsia="he-IL"/>
        </w:rPr>
        <w:t>]</w:t>
      </w:r>
      <w:r w:rsidRPr="00D45203">
        <w:rPr>
          <w:rFonts w:ascii="David" w:hAnsi="David"/>
          <w:b/>
          <w:bCs/>
          <w:noProof w:val="0"/>
          <w:sz w:val="26"/>
          <w:szCs w:val="26"/>
          <w:rtl/>
          <w:lang w:eastAsia="he-IL"/>
        </w:rPr>
        <w:t>בלתי מוחשיים לתושבי חוץ, מתן שירותים לתושבי חוץ, ירקות ופרות.</w:t>
      </w:r>
      <w:r w:rsidRPr="00D45203">
        <w:rPr>
          <w:rFonts w:ascii="David" w:hAnsi="David" w:hint="cs"/>
          <w:b/>
          <w:bCs/>
          <w:noProof w:val="0"/>
          <w:sz w:val="26"/>
          <w:szCs w:val="26"/>
          <w:rtl/>
          <w:lang w:eastAsia="he-IL"/>
        </w:rPr>
        <w:t xml:space="preserve">.. </w:t>
      </w:r>
      <w:r w:rsidRPr="00D45203">
        <w:rPr>
          <w:rFonts w:ascii="David" w:hAnsi="David"/>
          <w:b/>
          <w:bCs/>
          <w:noProof w:val="0"/>
          <w:sz w:val="26"/>
          <w:szCs w:val="26"/>
          <w:rtl/>
          <w:lang w:eastAsia="he-IL"/>
        </w:rPr>
        <w:t xml:space="preserve">אנחנו עוברים לפסקה 6. פסקה 6 בחוק הקיים מתייחסת לשירות בקשר עם כניסתם של כלי טיס או כלי שיט לישראל או עם יציאתם ממנה או בקשר לשינוע טובין שנתנה רשות שדות התעופה או רשות הנמלים לכלי הטיס או כלי השיט, או שניתן לבעלי מטענים ותמורתו מהווה חלק מערך הטובין כפי שנקבע בפקודת המכס. </w:t>
      </w:r>
    </w:p>
    <w:p w:rsidR="00112166" w:rsidRPr="00D45203" w:rsidRDefault="00112166" w:rsidP="00112166">
      <w:pPr>
        <w:spacing w:after="240" w:line="360" w:lineRule="auto"/>
        <w:ind w:left="720"/>
        <w:contextualSpacing/>
        <w:jc w:val="both"/>
        <w:rPr>
          <w:rFonts w:ascii="David" w:hAnsi="David"/>
          <w:b/>
          <w:bCs/>
          <w:noProof w:val="0"/>
          <w:sz w:val="26"/>
          <w:szCs w:val="26"/>
          <w:rtl/>
          <w:lang w:eastAsia="he-IL"/>
        </w:rPr>
      </w:pPr>
      <w:r w:rsidRPr="00D45203">
        <w:rPr>
          <w:rFonts w:ascii="David" w:hAnsi="David"/>
          <w:b/>
          <w:bCs/>
          <w:noProof w:val="0"/>
          <w:sz w:val="26"/>
          <w:szCs w:val="26"/>
          <w:u w:val="single"/>
          <w:rtl/>
          <w:lang w:eastAsia="he-IL"/>
        </w:rPr>
        <w:t>אריאל אברהם</w:t>
      </w:r>
      <w:r w:rsidRPr="00D45203">
        <w:rPr>
          <w:rFonts w:ascii="David" w:hAnsi="David" w:hint="cs"/>
          <w:b/>
          <w:bCs/>
          <w:noProof w:val="0"/>
          <w:sz w:val="26"/>
          <w:szCs w:val="26"/>
          <w:u w:val="single"/>
          <w:rtl/>
          <w:lang w:eastAsia="he-IL"/>
        </w:rPr>
        <w:t xml:space="preserve"> [</w:t>
      </w:r>
      <w:r w:rsidRPr="00D45203">
        <w:rPr>
          <w:rFonts w:ascii="David" w:hAnsi="David"/>
          <w:b/>
          <w:bCs/>
          <w:noProof w:val="0"/>
          <w:sz w:val="26"/>
          <w:szCs w:val="26"/>
          <w:u w:val="single"/>
          <w:rtl/>
          <w:lang w:eastAsia="he-IL"/>
        </w:rPr>
        <w:t>סגן מנהל אגף המכס ומע"מ</w:t>
      </w:r>
      <w:r w:rsidRPr="00D45203">
        <w:rPr>
          <w:rFonts w:ascii="David" w:hAnsi="David" w:hint="cs"/>
          <w:b/>
          <w:bCs/>
          <w:noProof w:val="0"/>
          <w:sz w:val="26"/>
          <w:szCs w:val="26"/>
          <w:u w:val="single"/>
          <w:rtl/>
          <w:lang w:eastAsia="he-IL"/>
        </w:rPr>
        <w:t xml:space="preserve"> </w:t>
      </w:r>
      <w:r w:rsidRPr="00D45203">
        <w:rPr>
          <w:rFonts w:ascii="David" w:hAnsi="David"/>
          <w:b/>
          <w:bCs/>
          <w:noProof w:val="0"/>
          <w:sz w:val="26"/>
          <w:szCs w:val="26"/>
          <w:u w:val="single"/>
          <w:rtl/>
          <w:lang w:eastAsia="he-IL"/>
        </w:rPr>
        <w:t>–</w:t>
      </w:r>
      <w:r w:rsidRPr="00D45203">
        <w:rPr>
          <w:rFonts w:ascii="David" w:hAnsi="David" w:hint="cs"/>
          <w:b/>
          <w:bCs/>
          <w:noProof w:val="0"/>
          <w:sz w:val="26"/>
          <w:szCs w:val="26"/>
          <w:u w:val="single"/>
          <w:rtl/>
          <w:lang w:eastAsia="he-IL"/>
        </w:rPr>
        <w:t xml:space="preserve"> י"ס]</w:t>
      </w:r>
      <w:r w:rsidRPr="00D45203">
        <w:rPr>
          <w:rFonts w:ascii="David" w:hAnsi="David"/>
          <w:b/>
          <w:bCs/>
          <w:noProof w:val="0"/>
          <w:sz w:val="26"/>
          <w:szCs w:val="26"/>
          <w:u w:val="single"/>
          <w:rtl/>
          <w:lang w:eastAsia="he-IL"/>
        </w:rPr>
        <w:t>:</w:t>
      </w:r>
    </w:p>
    <w:p w:rsidR="00112166" w:rsidRPr="00D45203" w:rsidRDefault="00112166" w:rsidP="00112166">
      <w:pPr>
        <w:spacing w:after="240" w:line="360" w:lineRule="auto"/>
        <w:ind w:left="1440"/>
        <w:contextualSpacing/>
        <w:jc w:val="both"/>
        <w:rPr>
          <w:rFonts w:ascii="David" w:hAnsi="David"/>
          <w:b/>
          <w:bCs/>
          <w:noProof w:val="0"/>
          <w:sz w:val="26"/>
          <w:szCs w:val="26"/>
          <w:rtl/>
          <w:lang w:eastAsia="he-IL"/>
        </w:rPr>
      </w:pPr>
      <w:r w:rsidRPr="00D45203">
        <w:rPr>
          <w:rFonts w:ascii="David" w:hAnsi="David"/>
          <w:b/>
          <w:bCs/>
          <w:noProof w:val="0"/>
          <w:sz w:val="26"/>
          <w:szCs w:val="26"/>
          <w:u w:val="single"/>
          <w:rtl/>
          <w:lang w:eastAsia="he-IL"/>
        </w:rPr>
        <w:t>אנחנו מרחיבים את שיעור האפס גם לגבי אגרות נמל ואגרות רשות שדות התעופה לנוסע ימי או אווירי</w:t>
      </w:r>
      <w:r w:rsidRPr="00D45203">
        <w:rPr>
          <w:rFonts w:ascii="David" w:hAnsi="David"/>
          <w:b/>
          <w:bCs/>
          <w:noProof w:val="0"/>
          <w:sz w:val="26"/>
          <w:szCs w:val="26"/>
          <w:rtl/>
          <w:lang w:eastAsia="he-IL"/>
        </w:rPr>
        <w:t xml:space="preserve">. </w:t>
      </w:r>
    </w:p>
    <w:p w:rsidR="00112166" w:rsidRPr="00D45203" w:rsidRDefault="00112166" w:rsidP="00112166">
      <w:pPr>
        <w:spacing w:after="240" w:line="360" w:lineRule="auto"/>
        <w:ind w:left="720"/>
        <w:contextualSpacing/>
        <w:jc w:val="both"/>
        <w:rPr>
          <w:rFonts w:ascii="David" w:hAnsi="David"/>
          <w:b/>
          <w:bCs/>
          <w:noProof w:val="0"/>
          <w:sz w:val="26"/>
          <w:szCs w:val="26"/>
          <w:u w:val="single"/>
          <w:rtl/>
          <w:lang w:eastAsia="he-IL"/>
        </w:rPr>
      </w:pPr>
      <w:r w:rsidRPr="00D45203">
        <w:rPr>
          <w:rFonts w:ascii="David" w:hAnsi="David"/>
          <w:b/>
          <w:bCs/>
          <w:noProof w:val="0"/>
          <w:sz w:val="26"/>
          <w:szCs w:val="26"/>
          <w:u w:val="single"/>
          <w:rtl/>
          <w:lang w:eastAsia="he-IL"/>
        </w:rPr>
        <w:t>אנה שניידר:</w:t>
      </w:r>
    </w:p>
    <w:p w:rsidR="00112166" w:rsidRPr="00D45203" w:rsidRDefault="00112166" w:rsidP="00112166">
      <w:pPr>
        <w:spacing w:after="240" w:line="360" w:lineRule="auto"/>
        <w:ind w:left="720" w:firstLine="720"/>
        <w:contextualSpacing/>
        <w:jc w:val="both"/>
        <w:rPr>
          <w:rFonts w:ascii="David" w:hAnsi="David"/>
          <w:b/>
          <w:bCs/>
          <w:noProof w:val="0"/>
          <w:sz w:val="26"/>
          <w:szCs w:val="26"/>
          <w:u w:val="single"/>
          <w:rtl/>
          <w:lang w:eastAsia="he-IL"/>
        </w:rPr>
      </w:pPr>
      <w:r w:rsidRPr="00D45203">
        <w:rPr>
          <w:rFonts w:ascii="David" w:hAnsi="David"/>
          <w:b/>
          <w:bCs/>
          <w:noProof w:val="0"/>
          <w:sz w:val="26"/>
          <w:szCs w:val="26"/>
          <w:rtl/>
          <w:lang w:eastAsia="he-IL"/>
        </w:rPr>
        <w:t xml:space="preserve">עד היום זה היה חייב במס או שהיה ספק? </w:t>
      </w:r>
    </w:p>
    <w:p w:rsidR="00112166" w:rsidRPr="00D45203" w:rsidRDefault="00112166" w:rsidP="00112166">
      <w:pPr>
        <w:spacing w:after="240" w:line="360" w:lineRule="auto"/>
        <w:ind w:left="720"/>
        <w:contextualSpacing/>
        <w:jc w:val="both"/>
        <w:rPr>
          <w:rFonts w:ascii="David" w:hAnsi="David"/>
          <w:b/>
          <w:bCs/>
          <w:noProof w:val="0"/>
          <w:sz w:val="26"/>
          <w:szCs w:val="26"/>
          <w:rtl/>
          <w:lang w:eastAsia="he-IL"/>
        </w:rPr>
      </w:pPr>
      <w:r w:rsidRPr="00D45203">
        <w:rPr>
          <w:rFonts w:ascii="David" w:hAnsi="David"/>
          <w:b/>
          <w:bCs/>
          <w:noProof w:val="0"/>
          <w:sz w:val="26"/>
          <w:szCs w:val="26"/>
          <w:u w:val="single"/>
          <w:rtl/>
          <w:lang w:eastAsia="he-IL"/>
        </w:rPr>
        <w:t>אריאל אברהם:</w:t>
      </w:r>
    </w:p>
    <w:p w:rsidR="00112166" w:rsidRDefault="00112166" w:rsidP="00112166">
      <w:pPr>
        <w:spacing w:after="240" w:line="360" w:lineRule="auto"/>
        <w:ind w:left="1440"/>
        <w:contextualSpacing/>
        <w:jc w:val="both"/>
        <w:rPr>
          <w:rFonts w:ascii="David" w:hAnsi="David"/>
          <w:noProof w:val="0"/>
          <w:sz w:val="26"/>
          <w:szCs w:val="26"/>
          <w:rtl/>
          <w:lang w:eastAsia="he-IL"/>
        </w:rPr>
      </w:pPr>
      <w:r w:rsidRPr="00D45203">
        <w:rPr>
          <w:rFonts w:ascii="David" w:hAnsi="David"/>
          <w:b/>
          <w:bCs/>
          <w:noProof w:val="0"/>
          <w:sz w:val="26"/>
          <w:szCs w:val="26"/>
          <w:rtl/>
          <w:lang w:eastAsia="he-IL"/>
        </w:rPr>
        <w:t>לגבי שינוע באוויר היה ספק, לגבי נוסע ימי – הוא היה חייב במס. אנחנו מרחיבים את הפטור</w:t>
      </w:r>
      <w:r>
        <w:rPr>
          <w:rFonts w:ascii="David" w:hAnsi="David" w:hint="cs"/>
          <w:noProof w:val="0"/>
          <w:sz w:val="26"/>
          <w:szCs w:val="26"/>
          <w:rtl/>
          <w:lang w:eastAsia="he-IL"/>
        </w:rPr>
        <w:t xml:space="preserve">" </w:t>
      </w:r>
    </w:p>
    <w:p w:rsidR="00112166" w:rsidRPr="00DA54C2" w:rsidRDefault="00112166" w:rsidP="00112166">
      <w:pPr>
        <w:spacing w:after="240" w:line="360" w:lineRule="auto"/>
        <w:ind w:left="360"/>
        <w:contextualSpacing/>
        <w:jc w:val="both"/>
        <w:rPr>
          <w:rFonts w:ascii="David" w:hAnsi="David"/>
          <w:noProof w:val="0"/>
          <w:sz w:val="26"/>
          <w:szCs w:val="26"/>
          <w:rtl/>
          <w:lang w:eastAsia="he-IL"/>
        </w:rPr>
      </w:pPr>
      <w:r>
        <w:rPr>
          <w:rFonts w:ascii="David" w:hAnsi="David" w:hint="cs"/>
          <w:noProof w:val="0"/>
          <w:sz w:val="26"/>
          <w:szCs w:val="26"/>
          <w:rtl/>
          <w:lang w:eastAsia="he-IL"/>
        </w:rPr>
        <w:t>(</w:t>
      </w:r>
      <w:r w:rsidRPr="00993654">
        <w:rPr>
          <w:rFonts w:ascii="David" w:hAnsi="David" w:hint="cs"/>
          <w:noProof w:val="0"/>
          <w:sz w:val="26"/>
          <w:szCs w:val="26"/>
          <w:rtl/>
          <w:lang w:eastAsia="he-IL"/>
        </w:rPr>
        <w:t>פרוטוקול ישיבת ועדת הכספים, הכנסת ה-15</w:t>
      </w:r>
      <w:r>
        <w:rPr>
          <w:rFonts w:ascii="David" w:hAnsi="David" w:hint="cs"/>
          <w:noProof w:val="0"/>
          <w:sz w:val="26"/>
          <w:szCs w:val="26"/>
          <w:rtl/>
          <w:lang w:eastAsia="he-IL"/>
        </w:rPr>
        <w:t>,</w:t>
      </w:r>
      <w:r w:rsidRPr="00993654">
        <w:rPr>
          <w:rFonts w:ascii="David" w:hAnsi="David" w:hint="cs"/>
          <w:noProof w:val="0"/>
          <w:sz w:val="26"/>
          <w:szCs w:val="26"/>
          <w:rtl/>
          <w:lang w:eastAsia="he-IL"/>
        </w:rPr>
        <w:t xml:space="preserve"> </w:t>
      </w:r>
      <w:r>
        <w:rPr>
          <w:rFonts w:ascii="David" w:hAnsi="David" w:hint="cs"/>
          <w:noProof w:val="0"/>
          <w:sz w:val="26"/>
          <w:szCs w:val="26"/>
          <w:rtl/>
          <w:lang w:eastAsia="he-IL"/>
        </w:rPr>
        <w:t>23</w:t>
      </w:r>
      <w:r w:rsidRPr="00993654">
        <w:rPr>
          <w:rFonts w:ascii="David" w:hAnsi="David" w:hint="cs"/>
          <w:noProof w:val="0"/>
          <w:sz w:val="26"/>
          <w:szCs w:val="26"/>
          <w:rtl/>
          <w:lang w:eastAsia="he-IL"/>
        </w:rPr>
        <w:t xml:space="preserve"> (29.4.2002)</w:t>
      </w:r>
      <w:r>
        <w:rPr>
          <w:rFonts w:ascii="David" w:hAnsi="David" w:hint="cs"/>
          <w:noProof w:val="0"/>
          <w:sz w:val="26"/>
          <w:szCs w:val="26"/>
          <w:rtl/>
          <w:lang w:eastAsia="he-IL"/>
        </w:rPr>
        <w:t xml:space="preserve">. כל ההדגשות בפסק דין זה הן שלי </w:t>
      </w:r>
      <w:r>
        <w:rPr>
          <w:rFonts w:ascii="David" w:hAnsi="David"/>
          <w:noProof w:val="0"/>
          <w:sz w:val="26"/>
          <w:szCs w:val="26"/>
          <w:rtl/>
          <w:lang w:eastAsia="he-IL"/>
        </w:rPr>
        <w:t>–</w:t>
      </w:r>
      <w:r>
        <w:rPr>
          <w:rFonts w:ascii="David" w:hAnsi="David" w:hint="cs"/>
          <w:noProof w:val="0"/>
          <w:sz w:val="26"/>
          <w:szCs w:val="26"/>
          <w:rtl/>
          <w:lang w:eastAsia="he-IL"/>
        </w:rPr>
        <w:t xml:space="preserve"> י"ס)</w:t>
      </w:r>
      <w:r w:rsidRPr="00DA54C2">
        <w:rPr>
          <w:rFonts w:ascii="David" w:hAnsi="David"/>
          <w:noProof w:val="0"/>
          <w:sz w:val="26"/>
          <w:szCs w:val="26"/>
          <w:rtl/>
          <w:lang w:eastAsia="he-IL"/>
        </w:rPr>
        <w:t xml:space="preserve">. </w:t>
      </w:r>
    </w:p>
    <w:p w:rsidR="00112166" w:rsidRDefault="00112166" w:rsidP="00112166">
      <w:pPr>
        <w:pStyle w:val="af"/>
        <w:numPr>
          <w:ilvl w:val="0"/>
          <w:numId w:val="1"/>
        </w:numPr>
        <w:spacing w:after="240" w:line="360" w:lineRule="auto"/>
        <w:contextualSpacing w:val="0"/>
        <w:jc w:val="both"/>
        <w:rPr>
          <w:rFonts w:ascii="David" w:hAnsi="David"/>
          <w:noProof w:val="0"/>
          <w:sz w:val="26"/>
          <w:szCs w:val="26"/>
        </w:rPr>
      </w:pPr>
      <w:r w:rsidRPr="00AC0AA2">
        <w:rPr>
          <w:rFonts w:ascii="David" w:hAnsi="David" w:hint="cs"/>
          <w:noProof w:val="0"/>
          <w:sz w:val="26"/>
          <w:szCs w:val="26"/>
          <w:rtl/>
        </w:rPr>
        <w:t xml:space="preserve">וראו גם אבי פרידמן </w:t>
      </w:r>
      <w:r w:rsidRPr="00AC0AA2">
        <w:rPr>
          <w:rFonts w:ascii="David" w:hAnsi="David" w:hint="cs"/>
          <w:b/>
          <w:bCs/>
          <w:noProof w:val="0"/>
          <w:sz w:val="26"/>
          <w:szCs w:val="26"/>
          <w:rtl/>
        </w:rPr>
        <w:t>מס ערך מוסף: החוק וההלכה</w:t>
      </w:r>
      <w:r w:rsidRPr="00AC0AA2">
        <w:rPr>
          <w:rFonts w:ascii="David" w:hAnsi="David" w:hint="cs"/>
          <w:noProof w:val="0"/>
          <w:sz w:val="26"/>
          <w:szCs w:val="26"/>
          <w:rtl/>
        </w:rPr>
        <w:t xml:space="preserve"> 594 (</w:t>
      </w:r>
      <w:r>
        <w:rPr>
          <w:rFonts w:ascii="David" w:hAnsi="David" w:hint="cs"/>
          <w:noProof w:val="0"/>
          <w:sz w:val="26"/>
          <w:szCs w:val="26"/>
          <w:rtl/>
        </w:rPr>
        <w:t>מהדורה שלישית</w:t>
      </w:r>
      <w:r w:rsidRPr="00AC0AA2">
        <w:rPr>
          <w:rFonts w:ascii="David" w:hAnsi="David" w:hint="cs"/>
          <w:noProof w:val="0"/>
          <w:sz w:val="26"/>
          <w:szCs w:val="26"/>
          <w:rtl/>
        </w:rPr>
        <w:t xml:space="preserve"> 2018)</w:t>
      </w:r>
      <w:r>
        <w:rPr>
          <w:rFonts w:ascii="David" w:hAnsi="David" w:hint="cs"/>
          <w:noProof w:val="0"/>
          <w:sz w:val="26"/>
          <w:szCs w:val="26"/>
          <w:rtl/>
        </w:rPr>
        <w:t xml:space="preserve"> (להלן: "</w:t>
      </w:r>
      <w:r w:rsidRPr="007F0A62">
        <w:rPr>
          <w:rFonts w:ascii="David" w:hAnsi="David" w:hint="cs"/>
          <w:b/>
          <w:bCs/>
          <w:noProof w:val="0"/>
          <w:sz w:val="26"/>
          <w:szCs w:val="26"/>
          <w:rtl/>
        </w:rPr>
        <w:t>פרידמן</w:t>
      </w:r>
      <w:r>
        <w:rPr>
          <w:rFonts w:ascii="David" w:hAnsi="David" w:hint="cs"/>
          <w:noProof w:val="0"/>
          <w:sz w:val="26"/>
          <w:szCs w:val="26"/>
          <w:rtl/>
        </w:rPr>
        <w:t>")</w:t>
      </w:r>
      <w:r w:rsidRPr="00AC0AA2">
        <w:rPr>
          <w:rFonts w:ascii="David" w:hAnsi="David" w:hint="cs"/>
          <w:noProof w:val="0"/>
          <w:sz w:val="26"/>
          <w:szCs w:val="26"/>
          <w:rtl/>
        </w:rPr>
        <w:t xml:space="preserve">: </w:t>
      </w:r>
    </w:p>
    <w:p w:rsidR="00112166" w:rsidRPr="00AC0AA2" w:rsidRDefault="00112166" w:rsidP="00112166">
      <w:pPr>
        <w:pStyle w:val="af"/>
        <w:spacing w:after="240" w:line="360" w:lineRule="auto"/>
        <w:contextualSpacing w:val="0"/>
        <w:jc w:val="both"/>
        <w:rPr>
          <w:rFonts w:ascii="David" w:hAnsi="David"/>
          <w:noProof w:val="0"/>
          <w:sz w:val="26"/>
          <w:szCs w:val="26"/>
        </w:rPr>
      </w:pPr>
      <w:r w:rsidRPr="00AC0AA2">
        <w:rPr>
          <w:rFonts w:ascii="David" w:hAnsi="David" w:hint="cs"/>
          <w:noProof w:val="0"/>
          <w:sz w:val="26"/>
          <w:szCs w:val="26"/>
          <w:rtl/>
        </w:rPr>
        <w:t>"</w:t>
      </w:r>
      <w:r w:rsidRPr="00AC0AA2">
        <w:rPr>
          <w:rFonts w:ascii="David" w:hAnsi="David"/>
          <w:b/>
          <w:bCs/>
          <w:noProof w:val="0"/>
          <w:sz w:val="26"/>
          <w:szCs w:val="26"/>
          <w:rtl/>
        </w:rPr>
        <w:t>תכלית ההוראה שבסעיף היא התאמת החוק להתחייבויות בינלאומיות בקשר למכירת שירותים בטיסה</w:t>
      </w:r>
      <w:r w:rsidRPr="00AC0AA2">
        <w:rPr>
          <w:rFonts w:ascii="David" w:hAnsi="David" w:hint="cs"/>
          <w:b/>
          <w:bCs/>
          <w:noProof w:val="0"/>
          <w:sz w:val="26"/>
          <w:szCs w:val="26"/>
          <w:rtl/>
        </w:rPr>
        <w:t xml:space="preserve"> </w:t>
      </w:r>
      <w:r w:rsidRPr="00AC0AA2">
        <w:rPr>
          <w:rFonts w:ascii="David" w:hAnsi="David"/>
          <w:b/>
          <w:bCs/>
          <w:noProof w:val="0"/>
          <w:sz w:val="26"/>
          <w:szCs w:val="26"/>
          <w:rtl/>
        </w:rPr>
        <w:t xml:space="preserve">ובהפלגה. </w:t>
      </w:r>
      <w:r w:rsidRPr="00BB6608">
        <w:rPr>
          <w:rFonts w:ascii="David" w:hAnsi="David"/>
          <w:b/>
          <w:bCs/>
          <w:noProof w:val="0"/>
          <w:sz w:val="26"/>
          <w:szCs w:val="26"/>
          <w:u w:val="single"/>
          <w:rtl/>
        </w:rPr>
        <w:t>הכוונה היא למיסי נמל אשר קודם הוטלו על כלי השיט או הטיס עצמו</w:t>
      </w:r>
      <w:r w:rsidRPr="00AC0AA2">
        <w:rPr>
          <w:rFonts w:ascii="David" w:hAnsi="David" w:hint="cs"/>
          <w:b/>
          <w:bCs/>
          <w:noProof w:val="0"/>
          <w:sz w:val="26"/>
          <w:szCs w:val="26"/>
          <w:rtl/>
        </w:rPr>
        <w:t xml:space="preserve">... </w:t>
      </w:r>
      <w:r w:rsidRPr="00AC0AA2">
        <w:rPr>
          <w:rFonts w:ascii="David" w:hAnsi="David"/>
          <w:b/>
          <w:bCs/>
          <w:noProof w:val="0"/>
          <w:sz w:val="26"/>
          <w:szCs w:val="26"/>
          <w:rtl/>
        </w:rPr>
        <w:t xml:space="preserve">עצם חקיקת ההוראה גורמת לכך שלא כל השירותים </w:t>
      </w:r>
      <w:r w:rsidRPr="00AC0AA2">
        <w:rPr>
          <w:rFonts w:ascii="David" w:hAnsi="David"/>
          <w:b/>
          <w:bCs/>
          <w:noProof w:val="0"/>
          <w:sz w:val="26"/>
          <w:szCs w:val="26"/>
          <w:rtl/>
        </w:rPr>
        <w:lastRenderedPageBreak/>
        <w:t>הניתנים על ידי רשות שדות התעופה ורשות</w:t>
      </w:r>
      <w:r w:rsidRPr="00AC0AA2">
        <w:rPr>
          <w:rFonts w:ascii="David" w:hAnsi="David" w:hint="cs"/>
          <w:b/>
          <w:bCs/>
          <w:noProof w:val="0"/>
          <w:sz w:val="26"/>
          <w:szCs w:val="26"/>
          <w:rtl/>
        </w:rPr>
        <w:t xml:space="preserve"> </w:t>
      </w:r>
      <w:r w:rsidRPr="00AC0AA2">
        <w:rPr>
          <w:rFonts w:ascii="David" w:hAnsi="David"/>
          <w:b/>
          <w:bCs/>
          <w:noProof w:val="0"/>
          <w:sz w:val="26"/>
          <w:szCs w:val="26"/>
          <w:rtl/>
        </w:rPr>
        <w:t>הנמלים חייבים במס בשיעור אפס, אלא רק שירותים הקשורים בתהליכים שפורטו בחוק, דהיינו,</w:t>
      </w:r>
      <w:r w:rsidRPr="00AC0AA2">
        <w:rPr>
          <w:rFonts w:ascii="David" w:hAnsi="David" w:hint="cs"/>
          <w:b/>
          <w:bCs/>
          <w:noProof w:val="0"/>
          <w:sz w:val="26"/>
          <w:szCs w:val="26"/>
          <w:rtl/>
        </w:rPr>
        <w:t xml:space="preserve"> </w:t>
      </w:r>
      <w:r w:rsidRPr="00AC0AA2">
        <w:rPr>
          <w:rFonts w:ascii="David" w:hAnsi="David"/>
          <w:b/>
          <w:bCs/>
          <w:noProof w:val="0"/>
          <w:sz w:val="26"/>
          <w:szCs w:val="26"/>
          <w:rtl/>
        </w:rPr>
        <w:t>שירות הקשור לכניסה לישראל וליציאה מישראל, של כלי טיס וכלי שיט, בשירות הקשור לנוסעים</w:t>
      </w:r>
      <w:r w:rsidRPr="00AC0AA2">
        <w:rPr>
          <w:rFonts w:ascii="David" w:hAnsi="David" w:hint="cs"/>
          <w:b/>
          <w:bCs/>
          <w:noProof w:val="0"/>
          <w:sz w:val="26"/>
          <w:szCs w:val="26"/>
          <w:rtl/>
        </w:rPr>
        <w:t xml:space="preserve"> </w:t>
      </w:r>
      <w:r w:rsidRPr="00AC0AA2">
        <w:rPr>
          <w:rFonts w:ascii="David" w:hAnsi="David"/>
          <w:b/>
          <w:bCs/>
          <w:noProof w:val="0"/>
          <w:sz w:val="26"/>
          <w:szCs w:val="26"/>
          <w:rtl/>
        </w:rPr>
        <w:t>שהיו בכלי התחבורה הנ"ל ושינוע המטענים שקשורים לתהליך זה</w:t>
      </w:r>
      <w:r w:rsidRPr="00AC0AA2">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sidRPr="0046772B">
        <w:rPr>
          <w:rFonts w:ascii="David" w:hAnsi="David" w:hint="cs"/>
          <w:b/>
          <w:bCs/>
          <w:noProof w:val="0"/>
          <w:sz w:val="26"/>
          <w:szCs w:val="26"/>
          <w:rtl/>
        </w:rPr>
        <w:t>שלישית</w:t>
      </w:r>
      <w:r>
        <w:rPr>
          <w:rFonts w:ascii="David" w:hAnsi="David" w:hint="cs"/>
          <w:noProof w:val="0"/>
          <w:sz w:val="26"/>
          <w:szCs w:val="26"/>
          <w:rtl/>
        </w:rPr>
        <w:t xml:space="preserve">, כידוע, על נישום הטוען להקלה או לפטור ממס לשכנע את בית המשפט כי הוא נמצא </w:t>
      </w:r>
      <w:r w:rsidRPr="00BB19A0">
        <w:rPr>
          <w:rFonts w:ascii="David" w:hAnsi="David" w:hint="cs"/>
          <w:noProof w:val="0"/>
          <w:sz w:val="26"/>
          <w:szCs w:val="26"/>
          <w:u w:val="single"/>
          <w:rtl/>
        </w:rPr>
        <w:t>בבירור</w:t>
      </w:r>
      <w:r>
        <w:rPr>
          <w:rFonts w:ascii="David" w:hAnsi="David" w:hint="cs"/>
          <w:noProof w:val="0"/>
          <w:sz w:val="26"/>
          <w:szCs w:val="26"/>
          <w:rtl/>
        </w:rPr>
        <w:t xml:space="preserve"> בתחום תנאי ההקלה או הפטור, בהתאם ללשונם ולתכליתם. זאת משום שהקלה במס על הנישום האחד משמעה הכבדה במס על יתר הנישומים </w:t>
      </w:r>
      <w:r w:rsidRPr="000151E7">
        <w:rPr>
          <w:rFonts w:ascii="David" w:hAnsi="David"/>
          <w:noProof w:val="0"/>
          <w:sz w:val="26"/>
          <w:szCs w:val="26"/>
          <w:rtl/>
        </w:rPr>
        <w:t xml:space="preserve">או קיצוץ בשירותים הציבוריים הממומנים על ידי אותו </w:t>
      </w:r>
      <w:r>
        <w:rPr>
          <w:rFonts w:ascii="David" w:hAnsi="David" w:hint="cs"/>
          <w:noProof w:val="0"/>
          <w:sz w:val="26"/>
          <w:szCs w:val="26"/>
          <w:rtl/>
        </w:rPr>
        <w:t>ה</w:t>
      </w:r>
      <w:r w:rsidRPr="000151E7">
        <w:rPr>
          <w:rFonts w:ascii="David" w:hAnsi="David"/>
          <w:noProof w:val="0"/>
          <w:sz w:val="26"/>
          <w:szCs w:val="26"/>
          <w:rtl/>
        </w:rPr>
        <w:t>מס</w:t>
      </w:r>
      <w:r>
        <w:rPr>
          <w:rFonts w:ascii="David" w:hAnsi="David" w:hint="cs"/>
          <w:noProof w:val="0"/>
          <w:sz w:val="26"/>
          <w:szCs w:val="26"/>
          <w:rtl/>
        </w:rPr>
        <w:t xml:space="preserve"> (למשל,</w:t>
      </w:r>
      <w:r w:rsidRPr="00D01088">
        <w:rPr>
          <w:rtl/>
        </w:rPr>
        <w:t xml:space="preserve"> </w:t>
      </w:r>
      <w:r w:rsidRPr="00D01088">
        <w:rPr>
          <w:rFonts w:ascii="David" w:hAnsi="David"/>
          <w:noProof w:val="0"/>
          <w:sz w:val="26"/>
          <w:szCs w:val="26"/>
          <w:rtl/>
        </w:rPr>
        <w:t xml:space="preserve">ע"א 3159/19 </w:t>
      </w:r>
      <w:r w:rsidRPr="00D01088">
        <w:rPr>
          <w:rFonts w:ascii="David" w:hAnsi="David"/>
          <w:b/>
          <w:bCs/>
          <w:noProof w:val="0"/>
          <w:sz w:val="26"/>
          <w:szCs w:val="26"/>
          <w:rtl/>
        </w:rPr>
        <w:t xml:space="preserve">אבוחצירא נ' פקיד שומה </w:t>
      </w:r>
      <w:r>
        <w:rPr>
          <w:rFonts w:ascii="David" w:hAnsi="David"/>
          <w:b/>
          <w:bCs/>
          <w:noProof w:val="0"/>
          <w:sz w:val="26"/>
          <w:szCs w:val="26"/>
          <w:rtl/>
        </w:rPr>
        <w:t>–</w:t>
      </w:r>
      <w:r w:rsidRPr="00D01088">
        <w:rPr>
          <w:rFonts w:ascii="David" w:hAnsi="David"/>
          <w:b/>
          <w:bCs/>
          <w:noProof w:val="0"/>
          <w:sz w:val="26"/>
          <w:szCs w:val="26"/>
          <w:rtl/>
        </w:rPr>
        <w:t xml:space="preserve"> היחידה הארצית לשומה</w:t>
      </w:r>
      <w:r>
        <w:rPr>
          <w:rFonts w:ascii="David" w:hAnsi="David" w:hint="cs"/>
          <w:noProof w:val="0"/>
          <w:sz w:val="26"/>
          <w:szCs w:val="26"/>
          <w:rtl/>
        </w:rPr>
        <w:t>, פס' 12</w:t>
      </w:r>
      <w:r w:rsidRPr="00D01088">
        <w:rPr>
          <w:rFonts w:ascii="David" w:hAnsi="David"/>
          <w:noProof w:val="0"/>
          <w:sz w:val="26"/>
          <w:szCs w:val="26"/>
          <w:rtl/>
        </w:rPr>
        <w:t xml:space="preserve"> (18.10.2020)</w:t>
      </w:r>
      <w:r>
        <w:rPr>
          <w:rFonts w:ascii="David" w:hAnsi="David" w:hint="cs"/>
          <w:noProof w:val="0"/>
          <w:sz w:val="26"/>
          <w:szCs w:val="26"/>
          <w:rtl/>
        </w:rPr>
        <w:t xml:space="preserve">; </w:t>
      </w:r>
      <w:r w:rsidRPr="003E0B50">
        <w:rPr>
          <w:rFonts w:ascii="David" w:hAnsi="David"/>
          <w:noProof w:val="0"/>
          <w:sz w:val="26"/>
          <w:szCs w:val="26"/>
          <w:rtl/>
        </w:rPr>
        <w:t xml:space="preserve">עע"מ 8360/08 </w:t>
      </w:r>
      <w:r w:rsidRPr="003E0B50">
        <w:rPr>
          <w:rFonts w:ascii="David" w:hAnsi="David"/>
          <w:b/>
          <w:bCs/>
          <w:noProof w:val="0"/>
          <w:sz w:val="26"/>
          <w:szCs w:val="26"/>
          <w:rtl/>
        </w:rPr>
        <w:t>משרד הפנים נ' היברו יוניון קולג' מכון למדעי היהדות</w:t>
      </w:r>
      <w:r>
        <w:rPr>
          <w:rFonts w:ascii="David" w:hAnsi="David" w:hint="cs"/>
          <w:noProof w:val="0"/>
          <w:sz w:val="26"/>
          <w:szCs w:val="26"/>
          <w:rtl/>
        </w:rPr>
        <w:t>, פס' 13 לפסק דינו של כב' השופט עמית ופסק דינה של כב' השופטת נאור</w:t>
      </w:r>
      <w:r w:rsidRPr="003E0B50">
        <w:rPr>
          <w:rFonts w:ascii="David" w:hAnsi="David"/>
          <w:noProof w:val="0"/>
          <w:sz w:val="26"/>
          <w:szCs w:val="26"/>
          <w:rtl/>
        </w:rPr>
        <w:t xml:space="preserve"> (30.11.2011)</w:t>
      </w:r>
      <w:r>
        <w:rPr>
          <w:rFonts w:ascii="David" w:hAnsi="David" w:hint="cs"/>
          <w:noProof w:val="0"/>
          <w:sz w:val="26"/>
          <w:szCs w:val="26"/>
          <w:rtl/>
        </w:rPr>
        <w:t>;</w:t>
      </w:r>
      <w:r w:rsidRPr="000151E7">
        <w:rPr>
          <w:rtl/>
        </w:rPr>
        <w:t xml:space="preserve"> </w:t>
      </w:r>
      <w:r w:rsidRPr="000151E7">
        <w:rPr>
          <w:rFonts w:ascii="David" w:hAnsi="David"/>
          <w:noProof w:val="0"/>
          <w:sz w:val="26"/>
          <w:szCs w:val="26"/>
          <w:rtl/>
        </w:rPr>
        <w:t xml:space="preserve">בג"ץ 6741/99 </w:t>
      </w:r>
      <w:r w:rsidRPr="000151E7">
        <w:rPr>
          <w:rFonts w:ascii="David" w:hAnsi="David"/>
          <w:b/>
          <w:bCs/>
          <w:noProof w:val="0"/>
          <w:sz w:val="26"/>
          <w:szCs w:val="26"/>
          <w:rtl/>
        </w:rPr>
        <w:t>יקותיאלי נ' שר הפנים</w:t>
      </w:r>
      <w:r w:rsidRPr="000151E7">
        <w:rPr>
          <w:rFonts w:ascii="David" w:hAnsi="David"/>
          <w:noProof w:val="0"/>
          <w:sz w:val="26"/>
          <w:szCs w:val="26"/>
          <w:rtl/>
        </w:rPr>
        <w:t>, פ"ד נה(3) 673, 688-685 (2001)</w:t>
      </w:r>
      <w:r>
        <w:rPr>
          <w:rFonts w:ascii="David" w:hAnsi="David" w:hint="cs"/>
          <w:noProof w:val="0"/>
          <w:sz w:val="26"/>
          <w:szCs w:val="26"/>
          <w:rtl/>
        </w:rPr>
        <w:t xml:space="preserve">; </w:t>
      </w:r>
      <w:r w:rsidRPr="003E0B50">
        <w:rPr>
          <w:rFonts w:ascii="David" w:hAnsi="David"/>
          <w:noProof w:val="0"/>
          <w:sz w:val="26"/>
          <w:szCs w:val="26"/>
          <w:rtl/>
        </w:rPr>
        <w:t xml:space="preserve">בג"ץ 4140/95 </w:t>
      </w:r>
      <w:r w:rsidRPr="003E0B50">
        <w:rPr>
          <w:rFonts w:ascii="David" w:hAnsi="David"/>
          <w:b/>
          <w:bCs/>
          <w:noProof w:val="0"/>
          <w:sz w:val="26"/>
          <w:szCs w:val="26"/>
          <w:rtl/>
        </w:rPr>
        <w:t>סופרפארם (ישראל) בע"מ נ' מנהל המכס ומע"מ</w:t>
      </w:r>
      <w:r w:rsidRPr="003E0B50">
        <w:rPr>
          <w:rFonts w:ascii="David" w:hAnsi="David"/>
          <w:noProof w:val="0"/>
          <w:sz w:val="26"/>
          <w:szCs w:val="26"/>
          <w:rtl/>
        </w:rPr>
        <w:t>, פ''ד נד(1) 49</w:t>
      </w:r>
      <w:r>
        <w:rPr>
          <w:rFonts w:ascii="David" w:hAnsi="David" w:hint="cs"/>
          <w:noProof w:val="0"/>
          <w:sz w:val="26"/>
          <w:szCs w:val="26"/>
          <w:rtl/>
        </w:rPr>
        <w:t>,</w:t>
      </w:r>
      <w:r w:rsidRPr="003E0B50">
        <w:rPr>
          <w:rFonts w:ascii="David" w:hAnsi="David"/>
          <w:noProof w:val="0"/>
          <w:sz w:val="26"/>
          <w:szCs w:val="26"/>
          <w:rtl/>
        </w:rPr>
        <w:t xml:space="preserve"> </w:t>
      </w:r>
      <w:r>
        <w:rPr>
          <w:rFonts w:ascii="David" w:hAnsi="David" w:hint="cs"/>
          <w:noProof w:val="0"/>
          <w:sz w:val="26"/>
          <w:szCs w:val="26"/>
          <w:rtl/>
        </w:rPr>
        <w:t>83-82</w:t>
      </w:r>
      <w:r w:rsidRPr="003E0B50">
        <w:rPr>
          <w:rFonts w:ascii="David" w:hAnsi="David"/>
          <w:noProof w:val="0"/>
          <w:sz w:val="26"/>
          <w:szCs w:val="26"/>
          <w:rtl/>
        </w:rPr>
        <w:t xml:space="preserve"> </w:t>
      </w:r>
      <w:r>
        <w:rPr>
          <w:rFonts w:ascii="David" w:hAnsi="David"/>
          <w:noProof w:val="0"/>
          <w:sz w:val="26"/>
          <w:szCs w:val="26"/>
          <w:rtl/>
        </w:rPr>
        <w:t>(1999),</w:t>
      </w:r>
      <w:r w:rsidRPr="003E0B50">
        <w:rPr>
          <w:rFonts w:ascii="David" w:hAnsi="David"/>
          <w:noProof w:val="0"/>
          <w:sz w:val="26"/>
          <w:szCs w:val="26"/>
          <w:rtl/>
        </w:rPr>
        <w:t xml:space="preserve"> סעיף 6 לפסק דינו של </w:t>
      </w:r>
      <w:r>
        <w:rPr>
          <w:rFonts w:ascii="David" w:hAnsi="David" w:hint="cs"/>
          <w:noProof w:val="0"/>
          <w:sz w:val="26"/>
          <w:szCs w:val="26"/>
          <w:rtl/>
        </w:rPr>
        <w:t xml:space="preserve">כב' </w:t>
      </w:r>
      <w:r w:rsidRPr="003E0B50">
        <w:rPr>
          <w:rFonts w:ascii="David" w:hAnsi="David"/>
          <w:noProof w:val="0"/>
          <w:sz w:val="26"/>
          <w:szCs w:val="26"/>
          <w:rtl/>
        </w:rPr>
        <w:t>השופט חשין (אשר היה בדעת מיעוט לגבי תוצאת פסק הדין)</w:t>
      </w:r>
      <w:r>
        <w:rPr>
          <w:rFonts w:ascii="David" w:hAnsi="David" w:hint="cs"/>
          <w:noProof w:val="0"/>
          <w:sz w:val="26"/>
          <w:szCs w:val="26"/>
          <w:rtl/>
        </w:rPr>
        <w:t xml:space="preserve"> והאסמכתאות שם). </w:t>
      </w:r>
    </w:p>
    <w:p w:rsidR="00112166" w:rsidRPr="007C34E5" w:rsidRDefault="00112166" w:rsidP="00112166">
      <w:pPr>
        <w:numPr>
          <w:ilvl w:val="0"/>
          <w:numId w:val="1"/>
        </w:numPr>
        <w:spacing w:after="240" w:line="360" w:lineRule="auto"/>
        <w:jc w:val="both"/>
        <w:rPr>
          <w:rFonts w:ascii="David" w:hAnsi="David"/>
          <w:noProof w:val="0"/>
          <w:sz w:val="26"/>
          <w:szCs w:val="26"/>
        </w:rPr>
      </w:pPr>
      <w:r w:rsidRPr="007C34E5">
        <w:rPr>
          <w:rFonts w:ascii="David" w:hAnsi="David" w:hint="cs"/>
          <w:noProof w:val="0"/>
          <w:sz w:val="26"/>
          <w:szCs w:val="26"/>
          <w:rtl/>
        </w:rPr>
        <w:t xml:space="preserve">בענייננו, לא מצאתי כי פעילות המערערת נמצאת בבירור בתחום תנאי הטבת המס בהתאם ללשונה ולתכליתה.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מנגד, מלבד טענות בעלמא, המערערת לא הפנתה ולו לאסמכתא אחת המעידה כי מדובר בשירות אינטגרלי לטיסה אשר נדרש בכל נמל תעופה הפועל בהתאם לסטנדרטים בין-לאומיים מקובלים (וראו ה"ש 8 לסיכומי המערערת). גם בהסכם ההרשאה לא נמצא כל רמז להתחייבויות בין-לאומיות או לסטנדרטים בין-לאומיים שהמערערת צריכה לפעול על פיהם.</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בדברי ההסבר לסעיף 3 </w:t>
      </w:r>
      <w:r w:rsidRPr="004A37C0">
        <w:rPr>
          <w:rFonts w:ascii="David" w:hAnsi="David" w:hint="cs"/>
          <w:b/>
          <w:bCs/>
          <w:noProof w:val="0"/>
          <w:sz w:val="26"/>
          <w:szCs w:val="26"/>
          <w:rtl/>
        </w:rPr>
        <w:t>להצעת חוק תיקון 22</w:t>
      </w:r>
      <w:r>
        <w:rPr>
          <w:rFonts w:ascii="David" w:hAnsi="David" w:hint="cs"/>
          <w:noProof w:val="0"/>
          <w:sz w:val="26"/>
          <w:szCs w:val="26"/>
          <w:rtl/>
        </w:rPr>
        <w:t xml:space="preserve"> צוין כי "</w:t>
      </w:r>
      <w:r w:rsidRPr="00CA5C12">
        <w:rPr>
          <w:rFonts w:ascii="David" w:hAnsi="David" w:hint="cs"/>
          <w:b/>
          <w:bCs/>
          <w:noProof w:val="0"/>
          <w:sz w:val="26"/>
          <w:szCs w:val="26"/>
          <w:rtl/>
        </w:rPr>
        <w:t xml:space="preserve">סעיף 30(א)(6) קובע מס בשיעור אפס לגבי שירותים הקשורים לכניסה לישראל וליציאה ממנה של כלי טיס או כלי שיט. מוצע להוסיף לשירותים אלה גם שירות הניתן לנוסע בכלי שיט או בכלי טיס בקשר לכניסתו לישראל או ליציאתו ממנה </w:t>
      </w:r>
      <w:r w:rsidRPr="00CA5C12">
        <w:rPr>
          <w:rFonts w:ascii="David" w:hAnsi="David" w:hint="cs"/>
          <w:b/>
          <w:bCs/>
          <w:noProof w:val="0"/>
          <w:sz w:val="26"/>
          <w:szCs w:val="26"/>
          <w:u w:val="single"/>
          <w:rtl/>
        </w:rPr>
        <w:t>וזאת על פי התחייבות בין-לאומית של ישראל</w:t>
      </w:r>
      <w:r>
        <w:rPr>
          <w:rFonts w:ascii="David" w:hAnsi="David" w:hint="cs"/>
          <w:noProof w:val="0"/>
          <w:sz w:val="26"/>
          <w:szCs w:val="26"/>
          <w:rtl/>
        </w:rPr>
        <w:t xml:space="preserve">". </w:t>
      </w:r>
    </w:p>
    <w:p w:rsidR="00112166" w:rsidRDefault="00112166" w:rsidP="00112166">
      <w:pPr>
        <w:spacing w:after="240" w:line="360" w:lineRule="auto"/>
        <w:ind w:left="360"/>
        <w:jc w:val="both"/>
        <w:rPr>
          <w:rFonts w:ascii="David" w:hAnsi="David"/>
          <w:noProof w:val="0"/>
          <w:sz w:val="26"/>
          <w:szCs w:val="26"/>
        </w:rPr>
      </w:pPr>
      <w:r>
        <w:rPr>
          <w:rFonts w:ascii="David" w:hAnsi="David" w:hint="cs"/>
          <w:noProof w:val="0"/>
          <w:sz w:val="26"/>
          <w:szCs w:val="26"/>
          <w:rtl/>
        </w:rPr>
        <w:t xml:space="preserve">לו המערערת הייתה מוכיחה כי על הרשות מוטלת </w:t>
      </w:r>
      <w:r w:rsidRPr="00792031">
        <w:rPr>
          <w:rFonts w:ascii="David" w:hAnsi="David" w:hint="cs"/>
          <w:noProof w:val="0"/>
          <w:sz w:val="26"/>
          <w:szCs w:val="26"/>
          <w:rtl/>
        </w:rPr>
        <w:t>החובה</w:t>
      </w:r>
      <w:r>
        <w:rPr>
          <w:rFonts w:ascii="David" w:hAnsi="David" w:hint="cs"/>
          <w:noProof w:val="0"/>
          <w:sz w:val="26"/>
          <w:szCs w:val="26"/>
          <w:rtl/>
        </w:rPr>
        <w:t xml:space="preserve"> להפעיל את הטרקלין מתוקף התחייבות בין-לאומית של ישראל וכי אילולא הוא היה מופעל לא ניתן היה לקיים </w:t>
      </w:r>
      <w:r>
        <w:rPr>
          <w:rFonts w:ascii="David" w:hAnsi="David" w:hint="cs"/>
          <w:noProof w:val="0"/>
          <w:sz w:val="26"/>
          <w:szCs w:val="26"/>
          <w:rtl/>
        </w:rPr>
        <w:lastRenderedPageBreak/>
        <w:t xml:space="preserve">טיסות כסדרן בנתב"ג, ייתכן שהיה מקום לקבל את הערעור. אולם, כאמור לעיל, המערערת לא השכילה להפנות לכל מקור חוק או אמנה בין-לאומית שעוסקת בעניין.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ההיפך הוא הנכון, כבר נקבע בעבר בעתירה שהגישה אחת משותפות המערערת כי מדובר ב"</w:t>
      </w:r>
      <w:r w:rsidRPr="004E7C60">
        <w:rPr>
          <w:rFonts w:ascii="David" w:hAnsi="David" w:hint="cs"/>
          <w:b/>
          <w:bCs/>
          <w:noProof w:val="0"/>
          <w:sz w:val="26"/>
          <w:szCs w:val="26"/>
          <w:rtl/>
        </w:rPr>
        <w:t>שירות נוחות אופציונאלי המוצע לכלל הציבור וכרוך בתשלום</w:t>
      </w:r>
      <w:r>
        <w:rPr>
          <w:rFonts w:ascii="David" w:hAnsi="David" w:hint="cs"/>
          <w:noProof w:val="0"/>
          <w:sz w:val="26"/>
          <w:szCs w:val="26"/>
          <w:rtl/>
        </w:rPr>
        <w:t>" (</w:t>
      </w:r>
      <w:r w:rsidRPr="004E7C60">
        <w:rPr>
          <w:rFonts w:ascii="David" w:hAnsi="David"/>
          <w:noProof w:val="0"/>
          <w:sz w:val="26"/>
          <w:szCs w:val="26"/>
          <w:rtl/>
        </w:rPr>
        <w:t xml:space="preserve">עת"מ (מנהלי </w:t>
      </w:r>
      <w:r>
        <w:rPr>
          <w:rFonts w:ascii="David" w:hAnsi="David" w:hint="cs"/>
          <w:noProof w:val="0"/>
          <w:sz w:val="26"/>
          <w:szCs w:val="26"/>
          <w:rtl/>
        </w:rPr>
        <w:t>ת"א</w:t>
      </w:r>
      <w:r w:rsidRPr="004E7C60">
        <w:rPr>
          <w:rFonts w:ascii="David" w:hAnsi="David"/>
          <w:noProof w:val="0"/>
          <w:sz w:val="26"/>
          <w:szCs w:val="26"/>
          <w:rtl/>
        </w:rPr>
        <w:t xml:space="preserve">) 1034/07 </w:t>
      </w:r>
      <w:r w:rsidRPr="004E7C60">
        <w:rPr>
          <w:rFonts w:ascii="David" w:hAnsi="David"/>
          <w:b/>
          <w:bCs/>
          <w:noProof w:val="0"/>
          <w:sz w:val="26"/>
          <w:szCs w:val="26"/>
          <w:rtl/>
        </w:rPr>
        <w:t>קיו.איי.אס ישראל בע"מ נ' רשות שדות התעופה בישראל</w:t>
      </w:r>
      <w:r>
        <w:rPr>
          <w:rFonts w:ascii="David" w:hAnsi="David" w:hint="cs"/>
          <w:noProof w:val="0"/>
          <w:sz w:val="26"/>
          <w:szCs w:val="26"/>
          <w:rtl/>
        </w:rPr>
        <w:t>, פס' 1</w:t>
      </w:r>
      <w:r w:rsidRPr="004E7C60">
        <w:rPr>
          <w:rFonts w:ascii="David" w:hAnsi="David"/>
          <w:noProof w:val="0"/>
          <w:sz w:val="26"/>
          <w:szCs w:val="26"/>
          <w:rtl/>
        </w:rPr>
        <w:t xml:space="preserve"> (</w:t>
      </w:r>
      <w:r>
        <w:rPr>
          <w:rFonts w:ascii="David" w:hAnsi="David"/>
          <w:noProof w:val="0"/>
          <w:sz w:val="26"/>
          <w:szCs w:val="26"/>
          <w:rtl/>
        </w:rPr>
        <w:t>18.</w:t>
      </w:r>
      <w:r w:rsidRPr="004E7C60">
        <w:rPr>
          <w:rFonts w:ascii="David" w:hAnsi="David"/>
          <w:noProof w:val="0"/>
          <w:sz w:val="26"/>
          <w:szCs w:val="26"/>
          <w:rtl/>
        </w:rPr>
        <w:t>2.2009)</w:t>
      </w:r>
      <w:r>
        <w:rPr>
          <w:rFonts w:ascii="David" w:hAnsi="David" w:hint="cs"/>
          <w:noProof w:val="0"/>
          <w:sz w:val="26"/>
          <w:szCs w:val="26"/>
          <w:rtl/>
        </w:rPr>
        <w:t xml:space="preserve">). כמו כן, המערערת חוזרת וטוענת כי הפעלת הטרקלינים היא </w:t>
      </w:r>
      <w:r w:rsidRPr="00301183">
        <w:rPr>
          <w:rFonts w:ascii="David" w:hAnsi="David" w:hint="cs"/>
          <w:noProof w:val="0"/>
          <w:sz w:val="26"/>
          <w:szCs w:val="26"/>
          <w:u w:val="single"/>
          <w:rtl/>
        </w:rPr>
        <w:t>זכות</w:t>
      </w:r>
      <w:r>
        <w:rPr>
          <w:rFonts w:ascii="David" w:hAnsi="David" w:hint="cs"/>
          <w:noProof w:val="0"/>
          <w:sz w:val="26"/>
          <w:szCs w:val="26"/>
          <w:rtl/>
        </w:rPr>
        <w:t xml:space="preserve"> שניתנה לרשות (למשל, סעיף 46 או 49 לסיכומי המערערת).</w:t>
      </w:r>
      <w:r w:rsidRPr="00CF650E">
        <w:rPr>
          <w:rFonts w:ascii="David" w:hAnsi="David" w:hint="cs"/>
          <w:noProof w:val="0"/>
          <w:sz w:val="26"/>
          <w:szCs w:val="26"/>
          <w:rtl/>
        </w:rPr>
        <w:t xml:space="preserve"> בהחלט ייתכן שקיומו של טרקלין מעלה את </w:t>
      </w:r>
      <w:r>
        <w:rPr>
          <w:rFonts w:ascii="David" w:hAnsi="David" w:hint="cs"/>
          <w:noProof w:val="0"/>
          <w:sz w:val="26"/>
          <w:szCs w:val="26"/>
          <w:rtl/>
        </w:rPr>
        <w:t>רמת</w:t>
      </w:r>
      <w:r w:rsidRPr="00CF650E">
        <w:rPr>
          <w:rFonts w:ascii="David" w:hAnsi="David" w:hint="cs"/>
          <w:noProof w:val="0"/>
          <w:sz w:val="26"/>
          <w:szCs w:val="26"/>
          <w:rtl/>
        </w:rPr>
        <w:t xml:space="preserve"> ודירוג נמל התעופה, </w:t>
      </w:r>
      <w:r>
        <w:rPr>
          <w:rFonts w:ascii="David" w:hAnsi="David" w:hint="cs"/>
          <w:noProof w:val="0"/>
          <w:sz w:val="26"/>
          <w:szCs w:val="26"/>
          <w:rtl/>
        </w:rPr>
        <w:t>אולם</w:t>
      </w:r>
      <w:r w:rsidRPr="00CF650E">
        <w:rPr>
          <w:rFonts w:ascii="David" w:hAnsi="David" w:hint="cs"/>
          <w:noProof w:val="0"/>
          <w:sz w:val="26"/>
          <w:szCs w:val="26"/>
          <w:rtl/>
        </w:rPr>
        <w:t xml:space="preserve"> </w:t>
      </w:r>
      <w:r>
        <w:rPr>
          <w:rFonts w:ascii="David" w:hAnsi="David" w:hint="cs"/>
          <w:noProof w:val="0"/>
          <w:sz w:val="26"/>
          <w:szCs w:val="26"/>
          <w:rtl/>
        </w:rPr>
        <w:t xml:space="preserve">כל עוד </w:t>
      </w:r>
      <w:r w:rsidRPr="00CF650E">
        <w:rPr>
          <w:rFonts w:ascii="David" w:hAnsi="David" w:hint="cs"/>
          <w:noProof w:val="0"/>
          <w:sz w:val="26"/>
          <w:szCs w:val="26"/>
          <w:rtl/>
        </w:rPr>
        <w:t>לא הוכח כי מדובר ב</w:t>
      </w:r>
      <w:r>
        <w:rPr>
          <w:rFonts w:ascii="David" w:hAnsi="David" w:hint="cs"/>
          <w:noProof w:val="0"/>
          <w:sz w:val="26"/>
          <w:szCs w:val="26"/>
          <w:rtl/>
        </w:rPr>
        <w:t>שירות ש</w:t>
      </w:r>
      <w:r w:rsidRPr="00CF650E">
        <w:rPr>
          <w:rFonts w:ascii="David" w:hAnsi="David" w:hint="cs"/>
          <w:noProof w:val="0"/>
          <w:sz w:val="26"/>
          <w:szCs w:val="26"/>
          <w:rtl/>
        </w:rPr>
        <w:t>חובה</w:t>
      </w:r>
      <w:r>
        <w:rPr>
          <w:rFonts w:ascii="David" w:hAnsi="David" w:hint="cs"/>
          <w:noProof w:val="0"/>
          <w:sz w:val="26"/>
          <w:szCs w:val="26"/>
          <w:rtl/>
        </w:rPr>
        <w:t xml:space="preserve"> לספק כחלק מהפעלת נמל התעופה, אין בכך לסייע למערערת</w:t>
      </w:r>
      <w:r w:rsidRPr="00CF650E">
        <w:rPr>
          <w:rFonts w:ascii="David" w:hAnsi="David" w:hint="cs"/>
          <w:noProof w:val="0"/>
          <w:sz w:val="26"/>
          <w:szCs w:val="26"/>
          <w:rtl/>
        </w:rPr>
        <w:t>.</w:t>
      </w:r>
    </w:p>
    <w:p w:rsidR="00112166" w:rsidRPr="00F060F7"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המערערת טוענת בסעיף 12 לתצהירה כי הפעלת הטרקלין דומה להליך הרישום לטיסה (צ'ק אין) המתבצע בנתב"ג, שכן מדובר בפעילות שקשורה ליציאה מישראל הגם שלא כל הנוסעים היוצאים נעזרים בה. אולם, בניגוד לרישום לטיסה שחובה לבצע בין בבית ובין בנתב"ג, מרבית הנוסעים לא מתארחים בטרקלינים והדבר לא נדרש על מנת לצאת את ישראל (עמ' 21, ש' 24 </w:t>
      </w:r>
      <w:r>
        <w:rPr>
          <w:rFonts w:ascii="David" w:hAnsi="David"/>
          <w:noProof w:val="0"/>
          <w:sz w:val="26"/>
          <w:szCs w:val="26"/>
          <w:rtl/>
        </w:rPr>
        <w:t>–</w:t>
      </w:r>
      <w:r>
        <w:rPr>
          <w:rFonts w:ascii="David" w:hAnsi="David" w:hint="cs"/>
          <w:noProof w:val="0"/>
          <w:sz w:val="26"/>
          <w:szCs w:val="26"/>
          <w:rtl/>
        </w:rPr>
        <w:t xml:space="preserve"> 26 לפרוטוקול). שירותי הטרקלין הם שירותים נלווים לפי בחירה שנועדו לנוחות הנוסעים, ותו לא.</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בהתאם, אני סבורה כי שירותי טרקליני האירוח הם מסוג השירותים שגם הרשות חייבת בהם בשיעור מע"מ מלא (וראו סעיף 33 לסיכומי המערערת, כאמור). מדובר באותם השירותים שמופיעים בסעיף 5(ב) לחוק רש"ת: "</w:t>
      </w:r>
      <w:r w:rsidRPr="00A30CCD">
        <w:rPr>
          <w:rFonts w:ascii="David" w:hAnsi="David"/>
          <w:b/>
          <w:bCs/>
          <w:noProof w:val="0"/>
          <w:sz w:val="26"/>
          <w:szCs w:val="26"/>
          <w:rtl/>
        </w:rPr>
        <w:t xml:space="preserve">בנוסף על שירות שהרשות תתן על פי סעיף קטן (א) </w:t>
      </w:r>
      <w:r w:rsidRPr="00E0498B">
        <w:rPr>
          <w:rFonts w:ascii="David" w:hAnsi="David"/>
          <w:b/>
          <w:bCs/>
          <w:noProof w:val="0"/>
          <w:sz w:val="26"/>
          <w:szCs w:val="26"/>
          <w:u w:val="single"/>
          <w:rtl/>
        </w:rPr>
        <w:t>רשאית</w:t>
      </w:r>
      <w:r w:rsidRPr="00A30CCD">
        <w:rPr>
          <w:rFonts w:ascii="David" w:hAnsi="David"/>
          <w:b/>
          <w:bCs/>
          <w:noProof w:val="0"/>
          <w:sz w:val="26"/>
          <w:szCs w:val="26"/>
          <w:rtl/>
        </w:rPr>
        <w:t xml:space="preserve"> היא לתת שירותים אחרים בשדות התעופה של הרשות או בקשר אתם שניתן לתתם אגב מילוי תפקידיה כאמור</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לטעמי, אין הבדל מהותי בין הפעלת הטרקלין ובין הפעלת בתי הקפה והמסעדות שבנתב"ג, שמחויבים במע"מ מלא (עמ' 59, ש' 13 </w:t>
      </w:r>
      <w:r>
        <w:rPr>
          <w:rFonts w:ascii="David" w:hAnsi="David"/>
          <w:noProof w:val="0"/>
          <w:sz w:val="26"/>
          <w:szCs w:val="26"/>
          <w:rtl/>
        </w:rPr>
        <w:t>–</w:t>
      </w:r>
      <w:r>
        <w:rPr>
          <w:rFonts w:ascii="David" w:hAnsi="David" w:hint="cs"/>
          <w:noProof w:val="0"/>
          <w:sz w:val="26"/>
          <w:szCs w:val="26"/>
          <w:rtl/>
        </w:rPr>
        <w:t xml:space="preserve"> 15 לפרוטוקול). גם אותם העסקים הם שירות נלווה לטיסה והם חלק משירות המסופק בכל נמל תעופה הפועל בהתאם לסטנדרטים בין-לאומיים מקובלים. מדובר בשירותים שנועדו לרווחתם ולהנעמת זמנם של הנוסעים עד לעלייתם על המטוס. אדרבה,</w:t>
      </w:r>
      <w:r w:rsidRPr="00583EA4">
        <w:rPr>
          <w:rFonts w:ascii="David" w:hAnsi="David" w:hint="cs"/>
          <w:noProof w:val="0"/>
          <w:sz w:val="26"/>
          <w:szCs w:val="26"/>
          <w:rtl/>
        </w:rPr>
        <w:t xml:space="preserve"> הפעלת</w:t>
      </w:r>
      <w:r>
        <w:rPr>
          <w:rFonts w:ascii="David" w:hAnsi="David" w:hint="cs"/>
          <w:noProof w:val="0"/>
          <w:sz w:val="26"/>
          <w:szCs w:val="26"/>
          <w:rtl/>
        </w:rPr>
        <w:t>ם</w:t>
      </w:r>
      <w:r w:rsidRPr="00583EA4">
        <w:rPr>
          <w:rFonts w:ascii="David" w:hAnsi="David" w:hint="cs"/>
          <w:noProof w:val="0"/>
          <w:sz w:val="26"/>
          <w:szCs w:val="26"/>
          <w:rtl/>
        </w:rPr>
        <w:t xml:space="preserve"> של בית קפה</w:t>
      </w:r>
      <w:r>
        <w:rPr>
          <w:rFonts w:ascii="David" w:hAnsi="David" w:hint="cs"/>
          <w:noProof w:val="0"/>
          <w:sz w:val="26"/>
          <w:szCs w:val="26"/>
          <w:rtl/>
        </w:rPr>
        <w:t xml:space="preserve"> או מסעדה</w:t>
      </w:r>
      <w:r w:rsidRPr="00583EA4">
        <w:rPr>
          <w:rFonts w:ascii="David" w:hAnsi="David" w:hint="cs"/>
          <w:noProof w:val="0"/>
          <w:sz w:val="26"/>
          <w:szCs w:val="26"/>
          <w:rtl/>
        </w:rPr>
        <w:t xml:space="preserve"> בנמל התעופה היא שירות בסיסי הרבה יותר. </w:t>
      </w:r>
    </w:p>
    <w:p w:rsidR="00112166" w:rsidRDefault="00112166" w:rsidP="00112166">
      <w:pPr>
        <w:numPr>
          <w:ilvl w:val="0"/>
          <w:numId w:val="1"/>
        </w:numPr>
        <w:spacing w:after="240" w:line="360" w:lineRule="auto"/>
        <w:jc w:val="both"/>
        <w:rPr>
          <w:rFonts w:ascii="David" w:hAnsi="David"/>
          <w:noProof w:val="0"/>
          <w:sz w:val="26"/>
          <w:szCs w:val="26"/>
        </w:rPr>
      </w:pPr>
      <w:r w:rsidRPr="00583EA4">
        <w:rPr>
          <w:rFonts w:ascii="David" w:hAnsi="David" w:hint="cs"/>
          <w:noProof w:val="0"/>
          <w:sz w:val="26"/>
          <w:szCs w:val="26"/>
          <w:rtl/>
        </w:rPr>
        <w:t>ההבדלים שפורטת המערערת ביחס לכך הם הבדלים זניחים מבחינה תוכנית</w:t>
      </w:r>
      <w:r>
        <w:rPr>
          <w:rFonts w:ascii="David" w:hAnsi="David" w:hint="cs"/>
          <w:noProof w:val="0"/>
          <w:sz w:val="26"/>
          <w:szCs w:val="26"/>
          <w:rtl/>
        </w:rPr>
        <w:t xml:space="preserve"> ואין בהם לשנות</w:t>
      </w:r>
      <w:r w:rsidRPr="00583EA4">
        <w:rPr>
          <w:rFonts w:ascii="David" w:hAnsi="David" w:hint="cs"/>
          <w:noProof w:val="0"/>
          <w:sz w:val="26"/>
          <w:szCs w:val="26"/>
          <w:rtl/>
        </w:rPr>
        <w:t xml:space="preserve"> מן המהות</w:t>
      </w:r>
      <w:r>
        <w:rPr>
          <w:rFonts w:ascii="David" w:hAnsi="David" w:hint="cs"/>
          <w:noProof w:val="0"/>
          <w:sz w:val="26"/>
          <w:szCs w:val="26"/>
          <w:rtl/>
        </w:rPr>
        <w:t xml:space="preserve"> המשותפת</w:t>
      </w:r>
      <w:r w:rsidRPr="00583EA4">
        <w:rPr>
          <w:rFonts w:ascii="David" w:hAnsi="David" w:hint="cs"/>
          <w:noProof w:val="0"/>
          <w:sz w:val="26"/>
          <w:szCs w:val="26"/>
          <w:rtl/>
        </w:rPr>
        <w:t>. העובדה שהשירותים הניתנים בטרקלינים הם יוקרתיים</w:t>
      </w:r>
      <w:r>
        <w:rPr>
          <w:rFonts w:ascii="David" w:hAnsi="David" w:hint="cs"/>
          <w:noProof w:val="0"/>
          <w:sz w:val="26"/>
          <w:szCs w:val="26"/>
          <w:rtl/>
        </w:rPr>
        <w:t xml:space="preserve">, </w:t>
      </w:r>
      <w:r w:rsidRPr="00583EA4">
        <w:rPr>
          <w:rFonts w:ascii="David" w:hAnsi="David" w:hint="cs"/>
          <w:noProof w:val="0"/>
          <w:sz w:val="26"/>
          <w:szCs w:val="26"/>
          <w:rtl/>
        </w:rPr>
        <w:t>אקסקלוסיביים</w:t>
      </w:r>
      <w:r>
        <w:rPr>
          <w:rFonts w:ascii="David" w:hAnsi="David" w:hint="cs"/>
          <w:noProof w:val="0"/>
          <w:sz w:val="26"/>
          <w:szCs w:val="26"/>
          <w:rtl/>
        </w:rPr>
        <w:t xml:space="preserve"> ורחבים</w:t>
      </w:r>
      <w:r w:rsidRPr="00583EA4">
        <w:rPr>
          <w:rFonts w:ascii="David" w:hAnsi="David" w:hint="cs"/>
          <w:noProof w:val="0"/>
          <w:sz w:val="26"/>
          <w:szCs w:val="26"/>
          <w:rtl/>
        </w:rPr>
        <w:t xml:space="preserve"> יותר; העובדה שהכיסאות בבתי הקפה שייכים לנתב"ג ולא </w:t>
      </w:r>
      <w:r w:rsidRPr="00583EA4">
        <w:rPr>
          <w:rFonts w:ascii="David" w:hAnsi="David" w:hint="cs"/>
          <w:noProof w:val="0"/>
          <w:sz w:val="26"/>
          <w:szCs w:val="26"/>
          <w:rtl/>
        </w:rPr>
        <w:lastRenderedPageBreak/>
        <w:t xml:space="preserve">לנותן השירותים; העובדה שהרשות מפקחת על כניסות אורחים לטרקלינים וקובעת מכסות למניעת עומסים; והעובדה שעובדי נתב"ג אינם יכולים להשתמש בשירותי הטרקלינים, יש בהן ללמד אך על טיב ורמת השירות </w:t>
      </w:r>
      <w:r>
        <w:rPr>
          <w:rFonts w:ascii="David" w:hAnsi="David" w:hint="cs"/>
          <w:noProof w:val="0"/>
          <w:sz w:val="26"/>
          <w:szCs w:val="26"/>
          <w:rtl/>
        </w:rPr>
        <w:t xml:space="preserve">הניתן, אך </w:t>
      </w:r>
      <w:r w:rsidRPr="00583EA4">
        <w:rPr>
          <w:rFonts w:ascii="David" w:hAnsi="David" w:hint="cs"/>
          <w:noProof w:val="0"/>
          <w:sz w:val="26"/>
          <w:szCs w:val="26"/>
          <w:rtl/>
        </w:rPr>
        <w:t xml:space="preserve">לא על מהותו. </w:t>
      </w:r>
      <w:r w:rsidRPr="0004503F">
        <w:rPr>
          <w:rFonts w:ascii="David" w:hAnsi="David" w:hint="cs"/>
          <w:noProof w:val="0"/>
          <w:sz w:val="26"/>
          <w:szCs w:val="26"/>
          <w:rtl/>
        </w:rPr>
        <w:t>כל ההבדל בין השירותים מתמצה במחירם ובהיקף התמורה הניתנת</w:t>
      </w:r>
      <w:r>
        <w:rPr>
          <w:rFonts w:ascii="David" w:hAnsi="David" w:hint="cs"/>
          <w:noProof w:val="0"/>
          <w:sz w:val="26"/>
          <w:szCs w:val="26"/>
          <w:rtl/>
        </w:rPr>
        <w:t xml:space="preserve"> למקבל השירות</w:t>
      </w:r>
      <w:r w:rsidRPr="0004503F">
        <w:rPr>
          <w:rFonts w:ascii="David" w:hAnsi="David" w:hint="cs"/>
          <w:noProof w:val="0"/>
          <w:sz w:val="26"/>
          <w:szCs w:val="26"/>
          <w:rtl/>
        </w:rPr>
        <w:t xml:space="preserve">. </w:t>
      </w:r>
    </w:p>
    <w:p w:rsidR="00112166" w:rsidRPr="0004503F" w:rsidRDefault="00112166" w:rsidP="00112166">
      <w:pPr>
        <w:numPr>
          <w:ilvl w:val="0"/>
          <w:numId w:val="1"/>
        </w:numPr>
        <w:spacing w:after="240" w:line="360" w:lineRule="auto"/>
        <w:jc w:val="both"/>
        <w:rPr>
          <w:rFonts w:ascii="David" w:hAnsi="David"/>
          <w:noProof w:val="0"/>
          <w:sz w:val="26"/>
          <w:szCs w:val="26"/>
        </w:rPr>
      </w:pPr>
      <w:r w:rsidRPr="0004503F">
        <w:rPr>
          <w:rFonts w:ascii="David" w:hAnsi="David" w:hint="cs"/>
          <w:noProof w:val="0"/>
          <w:sz w:val="26"/>
          <w:szCs w:val="26"/>
          <w:rtl/>
        </w:rPr>
        <w:t xml:space="preserve">ואכן, כל נוסע שמעוניין יכול לשלם תשלום מלא וליהנות משירותי הטרקלין. מדובר בבחירה כלכלית גרידא </w:t>
      </w:r>
      <w:r w:rsidRPr="0004503F">
        <w:rPr>
          <w:rFonts w:ascii="David" w:hAnsi="David"/>
          <w:noProof w:val="0"/>
          <w:sz w:val="26"/>
          <w:szCs w:val="26"/>
          <w:rtl/>
        </w:rPr>
        <w:t>–</w:t>
      </w:r>
      <w:r w:rsidRPr="0004503F">
        <w:rPr>
          <w:rFonts w:ascii="David" w:hAnsi="David" w:hint="cs"/>
          <w:noProof w:val="0"/>
          <w:sz w:val="26"/>
          <w:szCs w:val="26"/>
          <w:rtl/>
        </w:rPr>
        <w:t xml:space="preserve"> האם להשקיע סכום כסף מסוים על שירות ברמה מסוימת, או סכום כסף אחר על שירות ברמה אחרת. כפי שאין הבדל מהותי לעניין תשלום מע"מ בין מסעדה יוקרתית ובין מסעדת מזון מהיר בקניון, כך גם כאן. בכל הכבוד, גם נציג המערערת לא השכיל להסביר בחקירתו מדוע ההבדלים רלוונטיים לעניין מבחינה מהותית (עמ' 19, ש' 19 </w:t>
      </w:r>
      <w:r w:rsidRPr="0004503F">
        <w:rPr>
          <w:rFonts w:ascii="David" w:hAnsi="David"/>
          <w:noProof w:val="0"/>
          <w:sz w:val="26"/>
          <w:szCs w:val="26"/>
          <w:rtl/>
        </w:rPr>
        <w:t>–</w:t>
      </w:r>
      <w:r w:rsidRPr="0004503F">
        <w:rPr>
          <w:rFonts w:ascii="David" w:hAnsi="David" w:hint="cs"/>
          <w:noProof w:val="0"/>
          <w:sz w:val="26"/>
          <w:szCs w:val="26"/>
          <w:rtl/>
        </w:rPr>
        <w:t xml:space="preserve"> עמ' 20, ש' 8; עמ' 23, ש' 31 </w:t>
      </w:r>
      <w:r w:rsidRPr="0004503F">
        <w:rPr>
          <w:rFonts w:ascii="David" w:hAnsi="David"/>
          <w:noProof w:val="0"/>
          <w:sz w:val="26"/>
          <w:szCs w:val="26"/>
          <w:rtl/>
        </w:rPr>
        <w:t>–</w:t>
      </w:r>
      <w:r w:rsidRPr="0004503F">
        <w:rPr>
          <w:rFonts w:ascii="David" w:hAnsi="David" w:hint="cs"/>
          <w:noProof w:val="0"/>
          <w:sz w:val="26"/>
          <w:szCs w:val="26"/>
          <w:rtl/>
        </w:rPr>
        <w:t xml:space="preserve"> עמ' 25, ש' 19; עמ' 44, ש' 12 </w:t>
      </w:r>
      <w:r w:rsidRPr="0004503F">
        <w:rPr>
          <w:rFonts w:ascii="David" w:hAnsi="David"/>
          <w:noProof w:val="0"/>
          <w:sz w:val="26"/>
          <w:szCs w:val="26"/>
          <w:rtl/>
        </w:rPr>
        <w:t>–</w:t>
      </w:r>
      <w:r w:rsidRPr="0004503F">
        <w:rPr>
          <w:rFonts w:ascii="David" w:hAnsi="David" w:hint="cs"/>
          <w:noProof w:val="0"/>
          <w:sz w:val="26"/>
          <w:szCs w:val="26"/>
          <w:rtl/>
        </w:rPr>
        <w:t xml:space="preserve"> עמ' 45, ש' 14 לפרוטוקול).</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על זאת יש להוסיף כי בדומה למערערת, </w:t>
      </w:r>
      <w:r w:rsidRPr="009D5677">
        <w:rPr>
          <w:rFonts w:ascii="David" w:hAnsi="David" w:hint="cs"/>
          <w:noProof w:val="0"/>
          <w:sz w:val="26"/>
          <w:szCs w:val="26"/>
          <w:u w:val="single"/>
          <w:rtl/>
        </w:rPr>
        <w:t>כל</w:t>
      </w:r>
      <w:r>
        <w:rPr>
          <w:rFonts w:ascii="David" w:hAnsi="David" w:hint="cs"/>
          <w:noProof w:val="0"/>
          <w:sz w:val="26"/>
          <w:szCs w:val="26"/>
          <w:rtl/>
        </w:rPr>
        <w:t xml:space="preserve"> העסקים המסחריים בנתב"ג משלמים דמי הרשאה לרשות עבור ההרשאה לפעול שם ולרשות אחריות לגבי אופן הפעילות שלהם, כך שלא מצאתי כל מקום להבחין ביניהם (עמ' 18, ש' 8 </w:t>
      </w:r>
      <w:r>
        <w:rPr>
          <w:rFonts w:ascii="David" w:hAnsi="David"/>
          <w:noProof w:val="0"/>
          <w:sz w:val="26"/>
          <w:szCs w:val="26"/>
          <w:rtl/>
        </w:rPr>
        <w:t>–</w:t>
      </w:r>
      <w:r>
        <w:rPr>
          <w:rFonts w:ascii="David" w:hAnsi="David" w:hint="cs"/>
          <w:noProof w:val="0"/>
          <w:sz w:val="26"/>
          <w:szCs w:val="26"/>
          <w:rtl/>
        </w:rPr>
        <w:t xml:space="preserve"> 24, עמ' 32, ש' 33 </w:t>
      </w:r>
      <w:r>
        <w:rPr>
          <w:rFonts w:ascii="David" w:hAnsi="David"/>
          <w:noProof w:val="0"/>
          <w:sz w:val="26"/>
          <w:szCs w:val="26"/>
          <w:rtl/>
        </w:rPr>
        <w:t>–</w:t>
      </w:r>
      <w:r>
        <w:rPr>
          <w:rFonts w:ascii="David" w:hAnsi="David" w:hint="cs"/>
          <w:noProof w:val="0"/>
          <w:sz w:val="26"/>
          <w:szCs w:val="26"/>
          <w:rtl/>
        </w:rPr>
        <w:t xml:space="preserve"> עמ' 33, ש' 2 לפרוטוקול).</w:t>
      </w:r>
    </w:p>
    <w:p w:rsidR="005C30E0" w:rsidRDefault="005C30E0" w:rsidP="00D347F5">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משהגעתי למסקנה</w:t>
      </w:r>
      <w:r w:rsidR="003D41C0">
        <w:rPr>
          <w:rFonts w:ascii="David" w:hAnsi="David" w:hint="cs"/>
          <w:noProof w:val="0"/>
          <w:sz w:val="26"/>
          <w:szCs w:val="26"/>
          <w:rtl/>
        </w:rPr>
        <w:t>,</w:t>
      </w:r>
      <w:r>
        <w:rPr>
          <w:rFonts w:ascii="David" w:hAnsi="David" w:hint="cs"/>
          <w:noProof w:val="0"/>
          <w:sz w:val="26"/>
          <w:szCs w:val="26"/>
          <w:rtl/>
        </w:rPr>
        <w:t xml:space="preserve"> כי שירותי האירוח בטרקלינים אינם נהנים ממע"מ בשיעור אפס, גם אם הם </w:t>
      </w:r>
      <w:r w:rsidR="001E0DF8">
        <w:rPr>
          <w:rFonts w:ascii="David" w:hAnsi="David" w:hint="cs"/>
          <w:noProof w:val="0"/>
          <w:sz w:val="26"/>
          <w:szCs w:val="26"/>
          <w:rtl/>
        </w:rPr>
        <w:t xml:space="preserve">היו </w:t>
      </w:r>
      <w:r>
        <w:rPr>
          <w:rFonts w:ascii="David" w:hAnsi="David" w:hint="cs"/>
          <w:noProof w:val="0"/>
          <w:sz w:val="26"/>
          <w:szCs w:val="26"/>
          <w:rtl/>
        </w:rPr>
        <w:t xml:space="preserve">ניתנים על ידי הרשות, מתייתר הדיון בשאלה האם המערערת נכנסה </w:t>
      </w:r>
      <w:r w:rsidR="00D347F5">
        <w:rPr>
          <w:rFonts w:ascii="David" w:hAnsi="David" w:hint="cs"/>
          <w:noProof w:val="0"/>
          <w:sz w:val="26"/>
          <w:szCs w:val="26"/>
          <w:rtl/>
        </w:rPr>
        <w:t>בנעליה של הרשות לעניין הטבת המס</w:t>
      </w:r>
      <w:r w:rsidR="006549C2">
        <w:rPr>
          <w:rFonts w:ascii="David" w:hAnsi="David" w:hint="cs"/>
          <w:noProof w:val="0"/>
          <w:sz w:val="26"/>
          <w:szCs w:val="26"/>
          <w:rtl/>
        </w:rPr>
        <w:t>.</w:t>
      </w:r>
    </w:p>
    <w:p w:rsidR="00112166" w:rsidRPr="00E069A8"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לסיכום חלק זה, </w:t>
      </w:r>
      <w:r w:rsidRPr="003A5D31">
        <w:rPr>
          <w:rFonts w:ascii="David" w:hAnsi="David"/>
          <w:noProof w:val="0"/>
          <w:sz w:val="26"/>
          <w:szCs w:val="26"/>
          <w:rtl/>
        </w:rPr>
        <w:t>בענייננו אין מחלוקת שהשהייה בטרקלין אינה נחוצה לצורך הכניסה או היציאה מ</w:t>
      </w:r>
      <w:r>
        <w:rPr>
          <w:rFonts w:ascii="David" w:hAnsi="David"/>
          <w:noProof w:val="0"/>
          <w:sz w:val="26"/>
          <w:szCs w:val="26"/>
          <w:rtl/>
        </w:rPr>
        <w:t>ישראל</w:t>
      </w:r>
      <w:r>
        <w:rPr>
          <w:rFonts w:ascii="David" w:hAnsi="David" w:hint="cs"/>
          <w:noProof w:val="0"/>
          <w:sz w:val="26"/>
          <w:szCs w:val="26"/>
          <w:rtl/>
        </w:rPr>
        <w:t>, ולפיכך אני סבורה כי איננה כלולה בגדרי סעיף 30(א)(6) לחוק.</w:t>
      </w:r>
    </w:p>
    <w:p w:rsidR="00112166" w:rsidRPr="00224D5F" w:rsidRDefault="00112166" w:rsidP="00112166">
      <w:pPr>
        <w:spacing w:after="240" w:line="360" w:lineRule="auto"/>
        <w:jc w:val="both"/>
        <w:rPr>
          <w:rFonts w:ascii="David" w:hAnsi="David"/>
          <w:noProof w:val="0"/>
          <w:sz w:val="26"/>
          <w:szCs w:val="26"/>
          <w:u w:val="single"/>
        </w:rPr>
      </w:pPr>
      <w:r>
        <w:rPr>
          <w:rFonts w:ascii="David" w:hAnsi="David" w:hint="cs"/>
          <w:noProof w:val="0"/>
          <w:sz w:val="26"/>
          <w:szCs w:val="26"/>
          <w:u w:val="single"/>
          <w:rtl/>
        </w:rPr>
        <w:t>סעיף 30(א)(10) לחוק</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אין בידי לקבל את טענות המערערת ביחס לסעיף 30(א)(10) לחוק.</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סעיף 30(א)(10) קובע כדלהלן: "</w:t>
      </w:r>
      <w:r w:rsidRPr="005D617B">
        <w:rPr>
          <w:rFonts w:ascii="David" w:hAnsi="David"/>
          <w:b/>
          <w:bCs/>
          <w:noProof w:val="0"/>
          <w:sz w:val="26"/>
          <w:szCs w:val="26"/>
          <w:rtl/>
        </w:rPr>
        <w:t>אלה עסקאות שהמס עליהן יהיה בשיעור אפס:</w:t>
      </w:r>
      <w:r w:rsidRPr="005D617B">
        <w:rPr>
          <w:rFonts w:ascii="David" w:hAnsi="David" w:hint="cs"/>
          <w:b/>
          <w:bCs/>
          <w:noProof w:val="0"/>
          <w:sz w:val="26"/>
          <w:szCs w:val="26"/>
          <w:rtl/>
        </w:rPr>
        <w:t xml:space="preserve"> ... </w:t>
      </w:r>
      <w:r w:rsidRPr="005D617B">
        <w:rPr>
          <w:rFonts w:ascii="David" w:hAnsi="David"/>
          <w:b/>
          <w:bCs/>
          <w:noProof w:val="0"/>
          <w:sz w:val="26"/>
          <w:szCs w:val="26"/>
          <w:rtl/>
        </w:rPr>
        <w:t xml:space="preserve">עסקה שהיא מכירת זכות לנסיעת חוץ; </w:t>
      </w:r>
      <w:r w:rsidRPr="005D617B">
        <w:rPr>
          <w:rFonts w:ascii="David" w:hAnsi="David" w:hint="cs"/>
          <w:b/>
          <w:bCs/>
          <w:noProof w:val="0"/>
          <w:sz w:val="26"/>
          <w:szCs w:val="26"/>
          <w:rtl/>
        </w:rPr>
        <w:t>'</w:t>
      </w:r>
      <w:r w:rsidRPr="005D617B">
        <w:rPr>
          <w:rFonts w:ascii="David" w:hAnsi="David"/>
          <w:b/>
          <w:bCs/>
          <w:noProof w:val="0"/>
          <w:sz w:val="26"/>
          <w:szCs w:val="26"/>
          <w:rtl/>
        </w:rPr>
        <w:t>זכות לנסיעת חוץ</w:t>
      </w:r>
      <w:r w:rsidRPr="005D617B">
        <w:rPr>
          <w:rFonts w:ascii="David" w:hAnsi="David" w:hint="cs"/>
          <w:b/>
          <w:bCs/>
          <w:noProof w:val="0"/>
          <w:sz w:val="26"/>
          <w:szCs w:val="26"/>
          <w:rtl/>
        </w:rPr>
        <w:t>'</w:t>
      </w:r>
      <w:r w:rsidRPr="005D617B">
        <w:rPr>
          <w:rFonts w:ascii="David" w:hAnsi="David"/>
          <w:b/>
          <w:bCs/>
          <w:noProof w:val="0"/>
          <w:sz w:val="26"/>
          <w:szCs w:val="26"/>
          <w:rtl/>
        </w:rPr>
        <w:t>, לענין זה – זכות לנסיעה בכלי טיס או בכלי שיט מישראל למקום בחוץ לארץ או ממקום בחוץ לארץ למקום אחר בחוץ לארץ או ממקום מחוץ לארץ-ישראל</w:t>
      </w:r>
      <w:r w:rsidR="00073DCB">
        <w:rPr>
          <w:rFonts w:ascii="David" w:hAnsi="David" w:hint="cs"/>
          <w:noProof w:val="0"/>
          <w:sz w:val="26"/>
          <w:szCs w:val="26"/>
          <w:rtl/>
        </w:rPr>
        <w:t>...</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 xml:space="preserve">מהסעיף עולה ברורות כי הוא עוסק אך ורק במכירת כרטיס הטיסה עצמו. אין מחלוקת כי המערערת לא מוכרת את כרטיסי הטיסה (סעיף 22 לתצהיר המערערת) ודי בכך </w:t>
      </w:r>
      <w:r w:rsidR="00371067">
        <w:rPr>
          <w:rFonts w:ascii="David" w:hAnsi="David" w:hint="cs"/>
          <w:noProof w:val="0"/>
          <w:sz w:val="26"/>
          <w:szCs w:val="26"/>
          <w:rtl/>
        </w:rPr>
        <w:t xml:space="preserve">כדי </w:t>
      </w:r>
      <w:r>
        <w:rPr>
          <w:rFonts w:ascii="David" w:hAnsi="David" w:hint="cs"/>
          <w:noProof w:val="0"/>
          <w:sz w:val="26"/>
          <w:szCs w:val="26"/>
          <w:rtl/>
        </w:rPr>
        <w:t xml:space="preserve">לדחות את הטענה. </w:t>
      </w:r>
    </w:p>
    <w:p w:rsidR="00112166" w:rsidRPr="00FC26AC" w:rsidRDefault="00112166" w:rsidP="00073DCB">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אומנם, המערערת מספקת שירותי אירוח שלעיתים כלולים במחיר הכרטיס, אך אין בכך </w:t>
      </w:r>
      <w:r w:rsidR="00073DCB">
        <w:rPr>
          <w:rFonts w:ascii="David" w:hAnsi="David" w:hint="cs"/>
          <w:noProof w:val="0"/>
          <w:sz w:val="26"/>
          <w:szCs w:val="26"/>
          <w:rtl/>
        </w:rPr>
        <w:t xml:space="preserve">כדי </w:t>
      </w:r>
      <w:r>
        <w:rPr>
          <w:rFonts w:ascii="David" w:hAnsi="David" w:hint="cs"/>
          <w:noProof w:val="0"/>
          <w:sz w:val="26"/>
          <w:szCs w:val="26"/>
          <w:rtl/>
        </w:rPr>
        <w:t xml:space="preserve">להפוך את המערערת עצמה למוכרת הכרטיס. אין דומה אספקת שירות שכלול במחיר כרטיס הטיסה למכירת הכרטיס עצמו. לשיטת המערערת, גם יצרני המזון שמחולק במטוסים, יצרני המושבים, ספקי התוכן וכיו"ב אמורים ליהנות ממע"מ בשיעור אפס, שכן גם הם מספקים שירות או נכס שכלול במחיר הטיסה. זאת לא ניתן לקבל ואף נציג המערערת לא סיפק תשובה המניחה את הדעת ביחס לסוגיה זו (עמ' 42, ש' 31 </w:t>
      </w:r>
      <w:r>
        <w:rPr>
          <w:rFonts w:ascii="David" w:hAnsi="David"/>
          <w:noProof w:val="0"/>
          <w:sz w:val="26"/>
          <w:szCs w:val="26"/>
          <w:rtl/>
        </w:rPr>
        <w:t>–</w:t>
      </w:r>
      <w:r>
        <w:rPr>
          <w:rFonts w:ascii="David" w:hAnsi="David" w:hint="cs"/>
          <w:noProof w:val="0"/>
          <w:sz w:val="26"/>
          <w:szCs w:val="26"/>
          <w:rtl/>
        </w:rPr>
        <w:t xml:space="preserve"> עמ' 43, ש' 18 לפרוטוקול). האמור נכון ב</w:t>
      </w:r>
      <w:r w:rsidR="00073DCB">
        <w:rPr>
          <w:rFonts w:ascii="David" w:hAnsi="David" w:hint="cs"/>
          <w:noProof w:val="0"/>
          <w:sz w:val="26"/>
          <w:szCs w:val="26"/>
          <w:rtl/>
        </w:rPr>
        <w:t>מיוחד</w:t>
      </w:r>
      <w:r>
        <w:rPr>
          <w:rFonts w:ascii="David" w:hAnsi="David" w:hint="cs"/>
          <w:noProof w:val="0"/>
          <w:sz w:val="26"/>
          <w:szCs w:val="26"/>
          <w:rtl/>
        </w:rPr>
        <w:t xml:space="preserve"> כאשר השירות לא ניתן כחלק ממהלך הטיסה, אלא אך בזמן ההמתנה אליה. מדובר בשירות שמעצם טיבו הוא נפרד ומובחן מהטיסה</w:t>
      </w:r>
      <w:r w:rsidRPr="00F07AD4">
        <w:rPr>
          <w:rFonts w:ascii="David" w:hAnsi="David" w:hint="cs"/>
          <w:noProof w:val="0"/>
          <w:sz w:val="26"/>
          <w:szCs w:val="26"/>
          <w:rtl/>
        </w:rPr>
        <w:t xml:space="preserve"> </w:t>
      </w:r>
      <w:r>
        <w:rPr>
          <w:rFonts w:ascii="David" w:hAnsi="David" w:hint="cs"/>
          <w:noProof w:val="0"/>
          <w:sz w:val="26"/>
          <w:szCs w:val="26"/>
          <w:rtl/>
        </w:rPr>
        <w:t>עצמה.</w:t>
      </w:r>
    </w:p>
    <w:p w:rsidR="00112166" w:rsidRDefault="00112166" w:rsidP="00112166">
      <w:pPr>
        <w:numPr>
          <w:ilvl w:val="0"/>
          <w:numId w:val="1"/>
        </w:numPr>
        <w:spacing w:after="240" w:line="360" w:lineRule="auto"/>
        <w:jc w:val="both"/>
        <w:rPr>
          <w:rFonts w:ascii="David" w:hAnsi="David"/>
          <w:noProof w:val="0"/>
          <w:sz w:val="26"/>
          <w:szCs w:val="26"/>
        </w:rPr>
      </w:pPr>
      <w:r w:rsidRPr="00721FB7">
        <w:rPr>
          <w:rFonts w:ascii="David" w:hAnsi="David"/>
          <w:noProof w:val="0"/>
          <w:sz w:val="26"/>
          <w:szCs w:val="26"/>
          <w:rtl/>
        </w:rPr>
        <w:t xml:space="preserve">יתרה מזו, גם אם </w:t>
      </w:r>
      <w:r>
        <w:rPr>
          <w:rFonts w:ascii="David" w:hAnsi="David" w:hint="cs"/>
          <w:noProof w:val="0"/>
          <w:sz w:val="26"/>
          <w:szCs w:val="26"/>
          <w:rtl/>
        </w:rPr>
        <w:t xml:space="preserve">אניח כי </w:t>
      </w:r>
      <w:r w:rsidRPr="00721FB7">
        <w:rPr>
          <w:rFonts w:ascii="David" w:hAnsi="David"/>
          <w:noProof w:val="0"/>
          <w:sz w:val="26"/>
          <w:szCs w:val="26"/>
          <w:rtl/>
        </w:rPr>
        <w:t xml:space="preserve">המערערת צודקת בטענתה, הרי שהיא נכונה אך ורק </w:t>
      </w:r>
      <w:r w:rsidR="00073DCB">
        <w:rPr>
          <w:rFonts w:ascii="David" w:hAnsi="David" w:hint="cs"/>
          <w:noProof w:val="0"/>
          <w:sz w:val="26"/>
          <w:szCs w:val="26"/>
          <w:rtl/>
        </w:rPr>
        <w:t xml:space="preserve">ביחס </w:t>
      </w:r>
      <w:r w:rsidRPr="00721FB7">
        <w:rPr>
          <w:rFonts w:ascii="David" w:hAnsi="David"/>
          <w:noProof w:val="0"/>
          <w:sz w:val="26"/>
          <w:szCs w:val="26"/>
          <w:rtl/>
        </w:rPr>
        <w:t xml:space="preserve">לשירותים המסופקים לנוסעים המתארחים בטרקליניה מתוקף רכישת כרטיס טיסה במחלקת יוקרה. המערערת מתעלמת מכל אותם נוסעים המתארחים בטרקליניה מתוקף חברותם במועדוני לקוחות או החזקתם בכרטיסי אשראי מסוימים, ואף מאותם </w:t>
      </w:r>
      <w:r>
        <w:rPr>
          <w:rFonts w:ascii="David" w:hAnsi="David" w:hint="cs"/>
          <w:noProof w:val="0"/>
          <w:sz w:val="26"/>
          <w:szCs w:val="26"/>
          <w:rtl/>
        </w:rPr>
        <w:t>נוסעים</w:t>
      </w:r>
      <w:r w:rsidRPr="00721FB7">
        <w:rPr>
          <w:rFonts w:ascii="David" w:hAnsi="David"/>
          <w:noProof w:val="0"/>
          <w:sz w:val="26"/>
          <w:szCs w:val="26"/>
          <w:rtl/>
        </w:rPr>
        <w:t xml:space="preserve"> שרכשו את השירות באופן ישיר מהמערערת. </w:t>
      </w:r>
      <w:r>
        <w:rPr>
          <w:rFonts w:ascii="David" w:hAnsi="David" w:hint="cs"/>
          <w:noProof w:val="0"/>
          <w:sz w:val="26"/>
          <w:szCs w:val="26"/>
          <w:rtl/>
        </w:rPr>
        <w:t xml:space="preserve">ברם, </w:t>
      </w:r>
      <w:r w:rsidRPr="00721FB7">
        <w:rPr>
          <w:rFonts w:ascii="David" w:hAnsi="David"/>
          <w:noProof w:val="0"/>
          <w:sz w:val="26"/>
          <w:szCs w:val="26"/>
          <w:rtl/>
        </w:rPr>
        <w:t>המערערת</w:t>
      </w:r>
      <w:r>
        <w:rPr>
          <w:rFonts w:ascii="David" w:hAnsi="David" w:hint="cs"/>
          <w:noProof w:val="0"/>
          <w:sz w:val="26"/>
          <w:szCs w:val="26"/>
          <w:rtl/>
        </w:rPr>
        <w:t>, בסתירה לטענתה זו, דיווחה על הכנסותיה ממועדוני לקוחות זרים כעל הכנסות החייבות במע"מ בשיעור אפס; היא</w:t>
      </w:r>
      <w:r w:rsidRPr="00721FB7">
        <w:rPr>
          <w:rFonts w:ascii="David" w:hAnsi="David"/>
          <w:noProof w:val="0"/>
          <w:sz w:val="26"/>
          <w:szCs w:val="26"/>
          <w:rtl/>
        </w:rPr>
        <w:t xml:space="preserve"> לא סיפקה תחשיב מדויק המוכיח מה שיעור התשלומים המתקבלים מ</w:t>
      </w:r>
      <w:r>
        <w:rPr>
          <w:rFonts w:ascii="David" w:hAnsi="David"/>
          <w:noProof w:val="0"/>
          <w:sz w:val="26"/>
          <w:szCs w:val="26"/>
          <w:rtl/>
        </w:rPr>
        <w:t>חברות התעופה לעומת יתר התשלומים</w:t>
      </w:r>
      <w:r>
        <w:rPr>
          <w:rFonts w:ascii="David" w:hAnsi="David" w:hint="cs"/>
          <w:noProof w:val="0"/>
          <w:sz w:val="26"/>
          <w:szCs w:val="26"/>
          <w:rtl/>
        </w:rPr>
        <w:t>;</w:t>
      </w:r>
      <w:r w:rsidRPr="00721FB7">
        <w:rPr>
          <w:rFonts w:ascii="David" w:hAnsi="David"/>
          <w:noProof w:val="0"/>
          <w:sz w:val="26"/>
          <w:szCs w:val="26"/>
          <w:rtl/>
        </w:rPr>
        <w:t xml:space="preserve"> וכל טענותיה בהקשר זה נטענו בכלליות ומבלי שהן ייתמכו באסמכתאות (וראו עמ' 22 לפרוטוקול</w:t>
      </w:r>
      <w:r>
        <w:rPr>
          <w:rFonts w:ascii="David" w:hAnsi="David" w:hint="cs"/>
          <w:noProof w:val="0"/>
          <w:sz w:val="26"/>
          <w:szCs w:val="26"/>
          <w:rtl/>
        </w:rPr>
        <w:t xml:space="preserve"> וכן סעיפים 21 </w:t>
      </w:r>
      <w:r>
        <w:rPr>
          <w:rFonts w:ascii="David" w:hAnsi="David"/>
          <w:noProof w:val="0"/>
          <w:sz w:val="26"/>
          <w:szCs w:val="26"/>
          <w:rtl/>
        </w:rPr>
        <w:t>–</w:t>
      </w:r>
      <w:r>
        <w:rPr>
          <w:rFonts w:ascii="David" w:hAnsi="David" w:hint="cs"/>
          <w:noProof w:val="0"/>
          <w:sz w:val="26"/>
          <w:szCs w:val="26"/>
          <w:rtl/>
        </w:rPr>
        <w:t xml:space="preserve"> 24 לתצהיר נציג המערערת</w:t>
      </w:r>
      <w:r w:rsidRPr="00721FB7">
        <w:rPr>
          <w:rFonts w:ascii="David" w:hAnsi="David"/>
          <w:noProof w:val="0"/>
          <w:sz w:val="26"/>
          <w:szCs w:val="26"/>
          <w:rtl/>
        </w:rPr>
        <w:t>). במצב עניינים זה, ממילא לא ניתן לקבל את טענת המערערת</w:t>
      </w:r>
      <w:r>
        <w:rPr>
          <w:rFonts w:ascii="David" w:hAnsi="David" w:hint="cs"/>
          <w:noProof w:val="0"/>
          <w:sz w:val="26"/>
          <w:szCs w:val="26"/>
          <w:rtl/>
        </w:rPr>
        <w:t>.</w:t>
      </w:r>
    </w:p>
    <w:p w:rsidR="00112166" w:rsidRDefault="00112166" w:rsidP="00073DCB">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טוענת</w:t>
      </w:r>
      <w:r w:rsidR="00371067">
        <w:rPr>
          <w:rFonts w:ascii="David" w:hAnsi="David" w:hint="cs"/>
          <w:noProof w:val="0"/>
          <w:sz w:val="26"/>
          <w:szCs w:val="26"/>
          <w:rtl/>
        </w:rPr>
        <w:t>,</w:t>
      </w:r>
      <w:r>
        <w:rPr>
          <w:rFonts w:ascii="David" w:hAnsi="David" w:hint="cs"/>
          <w:noProof w:val="0"/>
          <w:sz w:val="26"/>
          <w:szCs w:val="26"/>
          <w:rtl/>
        </w:rPr>
        <w:t xml:space="preserve"> כי בכך היא מופלית לרעה מול חברות תעופה שמספקות שירותים דומים באופן ישיר כחלק מן התשלום עבור כרטיס הטיסה. </w:t>
      </w:r>
      <w:r w:rsidR="00371067">
        <w:rPr>
          <w:rFonts w:ascii="David" w:hAnsi="David" w:hint="cs"/>
          <w:noProof w:val="0"/>
          <w:sz w:val="26"/>
          <w:szCs w:val="26"/>
          <w:rtl/>
        </w:rPr>
        <w:t xml:space="preserve">ברם, </w:t>
      </w:r>
      <w:r>
        <w:rPr>
          <w:rFonts w:ascii="David" w:hAnsi="David" w:hint="cs"/>
          <w:noProof w:val="0"/>
          <w:sz w:val="26"/>
          <w:szCs w:val="26"/>
          <w:rtl/>
        </w:rPr>
        <w:t>אין בכך להביא לקבלת הערעור, שכן גם את ההכנסות משירותי האירוח של חברות התעופה שמספקות את השירותים באופן ישיר</w:t>
      </w:r>
      <w:r w:rsidRPr="00BF6FD7">
        <w:rPr>
          <w:rFonts w:ascii="David" w:hAnsi="David" w:hint="cs"/>
          <w:noProof w:val="0"/>
          <w:sz w:val="26"/>
          <w:szCs w:val="26"/>
          <w:rtl/>
        </w:rPr>
        <w:t xml:space="preserve"> </w:t>
      </w:r>
      <w:r>
        <w:rPr>
          <w:rFonts w:ascii="David" w:hAnsi="David" w:hint="cs"/>
          <w:noProof w:val="0"/>
          <w:sz w:val="26"/>
          <w:szCs w:val="26"/>
          <w:rtl/>
        </w:rPr>
        <w:t>יש לחייב במע"מ בשיעור מלא. יש מקום להפריד בין התשלומים שמקבלת חברת התעופה עבור שירותי האירוח, שהם חייבים במס בשיעור מלא, ובין התשלומים שמקבלת החברה עבור כרטיס הטיסה, שהם חייבים במע"מ בשיעור אפס</w:t>
      </w:r>
      <w:r w:rsidR="00073DCB">
        <w:rPr>
          <w:rFonts w:ascii="David" w:hAnsi="David" w:hint="cs"/>
          <w:noProof w:val="0"/>
          <w:sz w:val="26"/>
          <w:szCs w:val="26"/>
          <w:rtl/>
        </w:rPr>
        <w:t>.</w:t>
      </w:r>
      <w:r>
        <w:rPr>
          <w:rFonts w:ascii="David" w:hAnsi="David" w:hint="cs"/>
          <w:noProof w:val="0"/>
          <w:sz w:val="26"/>
          <w:szCs w:val="26"/>
          <w:rtl/>
        </w:rPr>
        <w:t xml:space="preserve">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נדמה גם כי ניתן לעשות כן ללא כל קושי. סביר להניח שחברת התעופה מפעילה את הטרקלין מתוקף הסכם הרשאה מול הרשות, אשר במסגרתו ממילא מחושבות </w:t>
      </w:r>
      <w:r>
        <w:rPr>
          <w:rFonts w:ascii="David" w:hAnsi="David" w:hint="cs"/>
          <w:noProof w:val="0"/>
          <w:sz w:val="26"/>
          <w:szCs w:val="26"/>
          <w:rtl/>
        </w:rPr>
        <w:lastRenderedPageBreak/>
        <w:t>ההכנסות משירותי האירוח לצורך חישוב דמי ההרשאה המועברים לרשות. וראו סעיף 8.2 להסכם ההרשאה שקובע כי "</w:t>
      </w:r>
      <w:r w:rsidRPr="001033E8">
        <w:rPr>
          <w:rFonts w:ascii="David" w:hAnsi="David" w:hint="cs"/>
          <w:b/>
          <w:bCs/>
          <w:noProof w:val="0"/>
          <w:sz w:val="26"/>
          <w:szCs w:val="26"/>
          <w:rtl/>
        </w:rPr>
        <w:t>במידה והמפעיל הנו חברת תעופה אשר תספק את השירותים ללקוחותיה, ללא תמורה, אזי לצורך חישוב פדיון המכירות ברוטו, יחשב כל לקוח כא</w:t>
      </w:r>
      <w:r>
        <w:rPr>
          <w:rFonts w:ascii="David" w:hAnsi="David" w:hint="cs"/>
          <w:b/>
          <w:bCs/>
          <w:noProof w:val="0"/>
          <w:sz w:val="26"/>
          <w:szCs w:val="26"/>
          <w:rtl/>
        </w:rPr>
        <w:t xml:space="preserve">מור כאילו שילם לחברה סך של 20 $ לנוסע במחלקת תיירים ו-35 $ </w:t>
      </w:r>
      <w:r w:rsidRPr="001033E8">
        <w:rPr>
          <w:rFonts w:ascii="David" w:hAnsi="David" w:hint="cs"/>
          <w:b/>
          <w:bCs/>
          <w:noProof w:val="0"/>
          <w:sz w:val="26"/>
          <w:szCs w:val="26"/>
          <w:rtl/>
        </w:rPr>
        <w:t>לנוסע במחלקת עסקים ו/או מחלקה ראשונה</w:t>
      </w:r>
      <w:r>
        <w:rPr>
          <w:rFonts w:ascii="David" w:hAnsi="David" w:hint="cs"/>
          <w:noProof w:val="0"/>
          <w:sz w:val="26"/>
          <w:szCs w:val="26"/>
          <w:rtl/>
        </w:rPr>
        <w:t>".</w:t>
      </w:r>
      <w:r w:rsidRPr="00337007">
        <w:rPr>
          <w:rFonts w:ascii="David" w:hAnsi="David" w:hint="cs"/>
          <w:noProof w:val="0"/>
          <w:sz w:val="26"/>
          <w:szCs w:val="26"/>
          <w:rtl/>
        </w:rPr>
        <w:t xml:space="preserve">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כלומר, ישנו "מחירון" ברור להכנסות חברת התעופה משירותי האירוח בטרקלינים, גם אם היא גובה את התשלום כחלק ממחיר כרטיס הטיסה.</w:t>
      </w:r>
      <w:r w:rsidRPr="007F0A62">
        <w:rPr>
          <w:rFonts w:ascii="David" w:hAnsi="David" w:hint="cs"/>
          <w:noProof w:val="0"/>
          <w:sz w:val="26"/>
          <w:szCs w:val="26"/>
          <w:rtl/>
        </w:rPr>
        <w:t xml:space="preserve"> </w:t>
      </w:r>
      <w:r>
        <w:rPr>
          <w:rFonts w:ascii="David" w:hAnsi="David" w:hint="cs"/>
          <w:noProof w:val="0"/>
          <w:sz w:val="26"/>
          <w:szCs w:val="26"/>
          <w:rtl/>
        </w:rPr>
        <w:t>אופן גביית התשלום עבור שירותי האירוח בטרקלינים אינו רלוונטי לצורך החיוב במע"מ עצמו.</w:t>
      </w:r>
    </w:p>
    <w:p w:rsidR="00112166" w:rsidRDefault="00112166" w:rsidP="00073DCB">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האמור נכון גם אם חברת התעופה הייתה מספקת את שירותי האירוח בטרקליניה שלא כחלק מהסכם מול הרשות. גם במקרה שכזה יש להפריד בין התשלום שמתקבל עבור שירותי האירוח ובין התשלום שמתקבל בגין כרטיס הטיסה. בהקשר זה אציין</w:t>
      </w:r>
      <w:r w:rsidR="00073DCB">
        <w:rPr>
          <w:rFonts w:ascii="David" w:hAnsi="David" w:hint="cs"/>
          <w:noProof w:val="0"/>
          <w:sz w:val="26"/>
          <w:szCs w:val="26"/>
          <w:rtl/>
        </w:rPr>
        <w:t>,</w:t>
      </w:r>
      <w:r>
        <w:rPr>
          <w:rFonts w:ascii="David" w:hAnsi="David" w:hint="cs"/>
          <w:noProof w:val="0"/>
          <w:sz w:val="26"/>
          <w:szCs w:val="26"/>
          <w:rtl/>
        </w:rPr>
        <w:t xml:space="preserve"> כי טענה לפיה חברת תעופה יכולה לספק בעצמה ובאופן ישיר את שירותי האירוח שלא דרך הסכם עם הרשות, סותרת את טענ</w:t>
      </w:r>
      <w:r w:rsidR="00073DCB">
        <w:rPr>
          <w:rFonts w:ascii="David" w:hAnsi="David" w:hint="cs"/>
          <w:noProof w:val="0"/>
          <w:sz w:val="26"/>
          <w:szCs w:val="26"/>
          <w:rtl/>
        </w:rPr>
        <w:t>ת המערערת</w:t>
      </w:r>
      <w:r>
        <w:rPr>
          <w:rFonts w:ascii="David" w:hAnsi="David" w:hint="cs"/>
          <w:noProof w:val="0"/>
          <w:sz w:val="26"/>
          <w:szCs w:val="26"/>
          <w:rtl/>
        </w:rPr>
        <w:t xml:space="preserve"> כי הרשות היא זו שחייבת במתן שירותי האירוח מתוקף הסכמים בין-לאומיים ושהמערערת נכנסה בנעליה.</w:t>
      </w:r>
    </w:p>
    <w:p w:rsidR="00073DCB" w:rsidRDefault="00073DCB" w:rsidP="00073DCB">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עם זאת, יצוין כי אין בכך לקבוע כי נכון יהיה להפשיט את כרטיס הטיסה מכלל רכיביו בכל מקרה ומקרה אלא רק כאשר הרכיב אינו חלק אינטגרלי מהטיסה</w:t>
      </w:r>
      <w:r w:rsidR="00D2087E">
        <w:rPr>
          <w:rFonts w:ascii="David" w:hAnsi="David" w:hint="cs"/>
          <w:noProof w:val="0"/>
          <w:sz w:val="26"/>
          <w:szCs w:val="26"/>
          <w:rtl/>
        </w:rPr>
        <w:t xml:space="preserve"> ובהתאם לנסיבות העניין</w:t>
      </w:r>
      <w:r>
        <w:rPr>
          <w:rFonts w:ascii="David" w:hAnsi="David" w:hint="cs"/>
          <w:noProof w:val="0"/>
          <w:sz w:val="26"/>
          <w:szCs w:val="26"/>
          <w:rtl/>
        </w:rPr>
        <w:t>.</w:t>
      </w:r>
    </w:p>
    <w:p w:rsidR="00112166" w:rsidRPr="00002899" w:rsidRDefault="00112166" w:rsidP="00112166">
      <w:pPr>
        <w:spacing w:after="240" w:line="360" w:lineRule="auto"/>
        <w:jc w:val="both"/>
        <w:rPr>
          <w:rFonts w:ascii="David" w:hAnsi="David"/>
          <w:noProof w:val="0"/>
          <w:sz w:val="26"/>
          <w:szCs w:val="26"/>
          <w:u w:val="single"/>
        </w:rPr>
      </w:pPr>
      <w:r w:rsidRPr="00002899">
        <w:rPr>
          <w:rFonts w:ascii="David" w:hAnsi="David" w:hint="cs"/>
          <w:noProof w:val="0"/>
          <w:sz w:val="26"/>
          <w:szCs w:val="26"/>
          <w:u w:val="single"/>
          <w:rtl/>
        </w:rPr>
        <w:t>סעיף 30(א)(2) לחוק</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סעיף 30(א)(2) לחוק קובע כדלהלן: "</w:t>
      </w:r>
      <w:r w:rsidRPr="00F118F5">
        <w:rPr>
          <w:rFonts w:ascii="David" w:hAnsi="David"/>
          <w:b/>
          <w:bCs/>
          <w:noProof w:val="0"/>
          <w:sz w:val="26"/>
          <w:szCs w:val="26"/>
          <w:rtl/>
        </w:rPr>
        <w:t>אלה עסקאות שהמס עליהן יהיה בשיעור אפס:</w:t>
      </w:r>
      <w:r w:rsidRPr="00F118F5">
        <w:rPr>
          <w:rFonts w:ascii="David" w:hAnsi="David" w:hint="cs"/>
          <w:b/>
          <w:bCs/>
          <w:noProof w:val="0"/>
          <w:sz w:val="26"/>
          <w:szCs w:val="26"/>
          <w:rtl/>
        </w:rPr>
        <w:t xml:space="preserve"> ... </w:t>
      </w:r>
      <w:r w:rsidRPr="00F118F5">
        <w:rPr>
          <w:rFonts w:ascii="David" w:hAnsi="David"/>
          <w:b/>
          <w:bCs/>
          <w:noProof w:val="0"/>
          <w:sz w:val="26"/>
          <w:szCs w:val="26"/>
          <w:rtl/>
        </w:rPr>
        <w:t>מכירת נכס בלתי מוחשי לתושב חוץ</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גם סעיף זה אינו רלוונטי לעניינה של המערערת ואין בו כדי להביא לקבלת הערעור</w:t>
      </w:r>
      <w:r w:rsidRPr="001354D7">
        <w:rPr>
          <w:rFonts w:ascii="David" w:hAnsi="David" w:hint="cs"/>
          <w:noProof w:val="0"/>
          <w:sz w:val="26"/>
          <w:szCs w:val="26"/>
          <w:rtl/>
        </w:rPr>
        <w:t>.</w:t>
      </w:r>
    </w:p>
    <w:p w:rsidR="00112166" w:rsidRDefault="00112166" w:rsidP="00073DCB">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הדבר פשוט ומובן מאליו. המערערת מספקת שירות, ולא מוכרת זכות ליהנות מן השירות. שירותי האירוח בטרקלינים הם בגדר שירותים, והם אינם בגדר נכס בלתי מוחשי (וראו דברי נציג המערערת בעמ' 46, ש' 2 </w:t>
      </w:r>
      <w:r>
        <w:rPr>
          <w:rFonts w:ascii="David" w:hAnsi="David"/>
          <w:noProof w:val="0"/>
          <w:sz w:val="26"/>
          <w:szCs w:val="26"/>
          <w:rtl/>
        </w:rPr>
        <w:t>–</w:t>
      </w:r>
      <w:r>
        <w:rPr>
          <w:rFonts w:ascii="David" w:hAnsi="David" w:hint="cs"/>
          <w:noProof w:val="0"/>
          <w:sz w:val="26"/>
          <w:szCs w:val="26"/>
          <w:rtl/>
        </w:rPr>
        <w:t xml:space="preserve"> ש' 15 לפרוטוקול). למעשה, לשיטת המערערת, כל שירות שניתן לתושב חוץ ייהנה ממע"מ בשיעור אפס שכן ניתן לטעון שמדובר במכירת זכות ליהנות מהשירות. זאת לא ניתן לקבל. </w:t>
      </w:r>
    </w:p>
    <w:p w:rsidR="00112166" w:rsidRPr="00155F79" w:rsidRDefault="00112166" w:rsidP="00112166">
      <w:pPr>
        <w:numPr>
          <w:ilvl w:val="0"/>
          <w:numId w:val="1"/>
        </w:numPr>
        <w:spacing w:after="240" w:line="360" w:lineRule="auto"/>
        <w:jc w:val="both"/>
        <w:rPr>
          <w:rFonts w:ascii="David" w:hAnsi="David"/>
          <w:noProof w:val="0"/>
          <w:sz w:val="26"/>
          <w:szCs w:val="26"/>
          <w:rtl/>
        </w:rPr>
      </w:pPr>
      <w:r>
        <w:rPr>
          <w:rFonts w:ascii="David" w:hAnsi="David" w:hint="cs"/>
          <w:noProof w:val="0"/>
          <w:sz w:val="26"/>
          <w:szCs w:val="26"/>
          <w:rtl/>
        </w:rPr>
        <w:lastRenderedPageBreak/>
        <w:t xml:space="preserve">כמו כן, ככלל, נכס בלתי מוחשי בהקשר של מע"מ בשיעור אפס הוא ידע, תוכנית, נכסי קניין רוחני, מוניטין, זכויות משפטיות וחוזיות וכיו"ב (וראו למשל דברי ההסבר לפרק ז' </w:t>
      </w:r>
      <w:r w:rsidRPr="00155F79">
        <w:rPr>
          <w:rFonts w:ascii="David" w:hAnsi="David" w:hint="cs"/>
          <w:b/>
          <w:bCs/>
          <w:noProof w:val="0"/>
          <w:sz w:val="26"/>
          <w:szCs w:val="26"/>
          <w:rtl/>
        </w:rPr>
        <w:t>לה</w:t>
      </w:r>
      <w:r>
        <w:rPr>
          <w:rFonts w:ascii="David" w:hAnsi="David" w:hint="cs"/>
          <w:b/>
          <w:bCs/>
          <w:noProof w:val="0"/>
          <w:sz w:val="26"/>
          <w:szCs w:val="26"/>
          <w:rtl/>
        </w:rPr>
        <w:t xml:space="preserve">צעת </w:t>
      </w:r>
      <w:r w:rsidRPr="00155F79">
        <w:rPr>
          <w:rFonts w:ascii="David" w:hAnsi="David" w:hint="cs"/>
          <w:b/>
          <w:bCs/>
          <w:noProof w:val="0"/>
          <w:sz w:val="26"/>
          <w:szCs w:val="26"/>
          <w:rtl/>
        </w:rPr>
        <w:t>ח</w:t>
      </w:r>
      <w:r>
        <w:rPr>
          <w:rFonts w:ascii="David" w:hAnsi="David" w:hint="cs"/>
          <w:b/>
          <w:bCs/>
          <w:noProof w:val="0"/>
          <w:sz w:val="26"/>
          <w:szCs w:val="26"/>
          <w:rtl/>
        </w:rPr>
        <w:t>וק</w:t>
      </w:r>
      <w:r w:rsidRPr="00155F79">
        <w:rPr>
          <w:rFonts w:ascii="David" w:hAnsi="David" w:hint="cs"/>
          <w:b/>
          <w:bCs/>
          <w:noProof w:val="0"/>
          <w:sz w:val="26"/>
          <w:szCs w:val="26"/>
          <w:rtl/>
        </w:rPr>
        <w:t xml:space="preserve"> מע"מ</w:t>
      </w:r>
      <w:r>
        <w:rPr>
          <w:rFonts w:ascii="David" w:hAnsi="David" w:hint="cs"/>
          <w:noProof w:val="0"/>
          <w:sz w:val="26"/>
          <w:szCs w:val="26"/>
          <w:rtl/>
        </w:rPr>
        <w:t>: "</w:t>
      </w:r>
      <w:r w:rsidRPr="00155F79">
        <w:rPr>
          <w:rFonts w:ascii="David" w:hAnsi="David"/>
          <w:b/>
          <w:bCs/>
          <w:noProof w:val="0"/>
          <w:sz w:val="26"/>
          <w:szCs w:val="26"/>
          <w:rtl/>
        </w:rPr>
        <w:t xml:space="preserve">מכירת </w:t>
      </w:r>
      <w:r w:rsidRPr="00155F79">
        <w:rPr>
          <w:rFonts w:ascii="David" w:hAnsi="David" w:hint="cs"/>
          <w:b/>
          <w:bCs/>
          <w:noProof w:val="0"/>
          <w:sz w:val="26"/>
          <w:szCs w:val="26"/>
          <w:rtl/>
        </w:rPr>
        <w:t>נ</w:t>
      </w:r>
      <w:r w:rsidRPr="00155F79">
        <w:rPr>
          <w:rFonts w:ascii="David" w:hAnsi="David"/>
          <w:b/>
          <w:bCs/>
          <w:noProof w:val="0"/>
          <w:sz w:val="26"/>
          <w:szCs w:val="26"/>
          <w:rtl/>
        </w:rPr>
        <w:t>כס בלתי מוחשי כ</w:t>
      </w:r>
      <w:r w:rsidRPr="00155F79">
        <w:rPr>
          <w:rFonts w:ascii="David" w:hAnsi="David" w:hint="cs"/>
          <w:b/>
          <w:bCs/>
          <w:noProof w:val="0"/>
          <w:sz w:val="26"/>
          <w:szCs w:val="26"/>
          <w:rtl/>
        </w:rPr>
        <w:t>גון פטנט, ידע וכיוצא באלה, מעוסק ישראלי לאדם מחוץ לישראל...</w:t>
      </w:r>
      <w:r>
        <w:rPr>
          <w:rFonts w:ascii="David" w:hAnsi="David" w:hint="cs"/>
          <w:noProof w:val="0"/>
          <w:sz w:val="26"/>
          <w:szCs w:val="26"/>
          <w:rtl/>
        </w:rPr>
        <w:t xml:space="preserve">"; </w:t>
      </w:r>
      <w:r w:rsidRPr="007F0A62">
        <w:rPr>
          <w:rFonts w:ascii="David" w:hAnsi="David" w:hint="cs"/>
          <w:b/>
          <w:bCs/>
          <w:noProof w:val="0"/>
          <w:sz w:val="26"/>
          <w:szCs w:val="26"/>
          <w:rtl/>
        </w:rPr>
        <w:t>פרידמן</w:t>
      </w:r>
      <w:r>
        <w:rPr>
          <w:rFonts w:ascii="David" w:hAnsi="David" w:hint="cs"/>
          <w:noProof w:val="0"/>
          <w:sz w:val="26"/>
          <w:szCs w:val="26"/>
          <w:rtl/>
        </w:rPr>
        <w:t xml:space="preserve">, בעמ' 546 </w:t>
      </w:r>
      <w:r>
        <w:rPr>
          <w:rFonts w:ascii="David" w:hAnsi="David"/>
          <w:noProof w:val="0"/>
          <w:sz w:val="26"/>
          <w:szCs w:val="26"/>
          <w:rtl/>
        </w:rPr>
        <w:t>–</w:t>
      </w:r>
      <w:r>
        <w:rPr>
          <w:rFonts w:ascii="David" w:hAnsi="David" w:hint="cs"/>
          <w:noProof w:val="0"/>
          <w:sz w:val="26"/>
          <w:szCs w:val="26"/>
          <w:rtl/>
        </w:rPr>
        <w:t xml:space="preserve"> 548). המרחק בין נכסים אלו ובין שירותי האירוח הוא רב. </w:t>
      </w:r>
    </w:p>
    <w:p w:rsidR="00112166" w:rsidRPr="007C1917" w:rsidRDefault="00112166" w:rsidP="008704F0">
      <w:pPr>
        <w:keepNext/>
        <w:spacing w:after="240" w:line="360" w:lineRule="auto"/>
        <w:jc w:val="both"/>
        <w:rPr>
          <w:rFonts w:ascii="David" w:hAnsi="David"/>
          <w:noProof w:val="0"/>
          <w:sz w:val="26"/>
          <w:szCs w:val="26"/>
          <w:u w:val="single"/>
        </w:rPr>
      </w:pPr>
      <w:r w:rsidRPr="007C1917">
        <w:rPr>
          <w:rFonts w:ascii="David" w:hAnsi="David" w:hint="cs"/>
          <w:noProof w:val="0"/>
          <w:sz w:val="26"/>
          <w:szCs w:val="26"/>
          <w:u w:val="single"/>
          <w:rtl/>
        </w:rPr>
        <w:t>ניכוי מס תשומות בגין השימוש ברכבים</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טוענת כי הרכבים הפרטיים ששכרה שימשו אך ורק לצרכי העסק ומשום כך יש להתיר לה לנכות את התשומות בגין שכירתם.</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אף אם אקבל את כל טענותיה העובדתיות של המערערת ואניח כי הרכבים שימשו אך ורק לצורך העסק, עדיין אין בכך להביא לקבלת הערעור שכן מבחינה משפטית, הוראות הדין ברורות והן אינן מתירות זאת. תקנה 14 לתקנות, תחת הכותרת "</w:t>
      </w:r>
      <w:r w:rsidRPr="00BE53C4">
        <w:rPr>
          <w:rFonts w:ascii="David" w:hAnsi="David"/>
          <w:b/>
          <w:bCs/>
          <w:noProof w:val="0"/>
          <w:sz w:val="26"/>
          <w:szCs w:val="26"/>
          <w:rtl/>
        </w:rPr>
        <w:t>איסור לנכות מס תשומות על רכב מנועי</w:t>
      </w:r>
      <w:r>
        <w:rPr>
          <w:rFonts w:ascii="David" w:hAnsi="David" w:hint="cs"/>
          <w:noProof w:val="0"/>
          <w:sz w:val="26"/>
          <w:szCs w:val="26"/>
          <w:rtl/>
        </w:rPr>
        <w:t xml:space="preserve">", קובעת כדלהלן: </w:t>
      </w:r>
    </w:p>
    <w:p w:rsidR="00112166" w:rsidRPr="00C83D1E" w:rsidRDefault="00112166" w:rsidP="00112166">
      <w:pPr>
        <w:spacing w:after="240" w:line="360" w:lineRule="auto"/>
        <w:ind w:left="1077"/>
        <w:contextualSpacing/>
        <w:jc w:val="both"/>
        <w:rPr>
          <w:rFonts w:ascii="David" w:hAnsi="David"/>
          <w:b/>
          <w:bCs/>
          <w:noProof w:val="0"/>
          <w:sz w:val="26"/>
          <w:szCs w:val="26"/>
          <w:rtl/>
        </w:rPr>
      </w:pPr>
      <w:r>
        <w:rPr>
          <w:rFonts w:ascii="David" w:hAnsi="David" w:hint="cs"/>
          <w:noProof w:val="0"/>
          <w:sz w:val="26"/>
          <w:szCs w:val="26"/>
          <w:rtl/>
        </w:rPr>
        <w:t>"</w:t>
      </w:r>
      <w:r w:rsidRPr="00C83D1E">
        <w:rPr>
          <w:rFonts w:ascii="David" w:hAnsi="David"/>
          <w:b/>
          <w:bCs/>
          <w:noProof w:val="0"/>
          <w:sz w:val="26"/>
          <w:szCs w:val="26"/>
          <w:rtl/>
        </w:rPr>
        <w:t>(א)  המס שהוטל על מכירת רכב פרטי לעוסק או על ייבוא רכב כאמור בידי עוסק לא יהיה ניתן לניכוי.</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(ב)  הוראות תקנת משנה (א) לא יחולו במקרים הבאים:</w:t>
      </w:r>
    </w:p>
    <w:p w:rsidR="00112166" w:rsidRPr="00C83D1E" w:rsidRDefault="00112166" w:rsidP="00112166">
      <w:pPr>
        <w:spacing w:after="240" w:line="360" w:lineRule="auto"/>
        <w:ind w:left="1077"/>
        <w:contextualSpacing/>
        <w:jc w:val="both"/>
        <w:rPr>
          <w:rFonts w:ascii="David" w:hAnsi="David"/>
          <w:b/>
          <w:bCs/>
          <w:noProof w:val="0"/>
          <w:sz w:val="26"/>
          <w:szCs w:val="26"/>
          <w:rtl/>
        </w:rPr>
      </w:pPr>
      <w:r>
        <w:rPr>
          <w:rFonts w:ascii="David" w:hAnsi="David" w:hint="cs"/>
          <w:b/>
          <w:bCs/>
          <w:noProof w:val="0"/>
          <w:sz w:val="26"/>
          <w:szCs w:val="26"/>
          <w:rtl/>
        </w:rPr>
        <w:t>(</w:t>
      </w:r>
      <w:r w:rsidRPr="00C83D1E">
        <w:rPr>
          <w:rFonts w:ascii="David" w:hAnsi="David"/>
          <w:b/>
          <w:bCs/>
          <w:noProof w:val="0"/>
          <w:sz w:val="26"/>
          <w:szCs w:val="26"/>
          <w:rtl/>
        </w:rPr>
        <w:t>1)   (בוטלה);</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(2)   הייבוא או הרכישה נעשו –</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(א)   בידי עוסק שעיקר עסקו מכירת רכב, לרבות רכב פרטי משומש לגבי רכב שאין בו שימוש ואינו מיועד לשימוש לבד ממכירתו במהלך העסק;</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(ב)   בידי עוסק אחר אם הרכב משמש אך ורק לאחד מאלה:</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ללימוד נהיגה בבית ספר לנהיגה;</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להשכרת רכב בידי מי שעסקו השכרת רכב;</w:t>
      </w:r>
    </w:p>
    <w:p w:rsidR="00112166" w:rsidRPr="00C83D1E" w:rsidRDefault="00112166" w:rsidP="00112166">
      <w:pPr>
        <w:spacing w:after="240" w:line="360" w:lineRule="auto"/>
        <w:ind w:left="1077"/>
        <w:contextualSpacing/>
        <w:jc w:val="both"/>
        <w:rPr>
          <w:rFonts w:ascii="David" w:hAnsi="David"/>
          <w:b/>
          <w:bCs/>
          <w:noProof w:val="0"/>
          <w:sz w:val="26"/>
          <w:szCs w:val="26"/>
          <w:rtl/>
        </w:rPr>
      </w:pPr>
      <w:r w:rsidRPr="00C83D1E">
        <w:rPr>
          <w:rFonts w:ascii="David" w:hAnsi="David"/>
          <w:b/>
          <w:bCs/>
          <w:noProof w:val="0"/>
          <w:sz w:val="26"/>
          <w:szCs w:val="26"/>
          <w:rtl/>
        </w:rPr>
        <w:t>להסעת נוסעים במהלך העסק, בידי מי שעסקו הסעת נוסעים;</w:t>
      </w:r>
    </w:p>
    <w:p w:rsidR="00112166" w:rsidRDefault="00112166" w:rsidP="00112166">
      <w:pPr>
        <w:spacing w:after="240" w:line="360" w:lineRule="auto"/>
        <w:ind w:left="1077"/>
        <w:jc w:val="both"/>
        <w:rPr>
          <w:rFonts w:ascii="David" w:hAnsi="David"/>
          <w:noProof w:val="0"/>
          <w:sz w:val="26"/>
          <w:szCs w:val="26"/>
        </w:rPr>
      </w:pPr>
      <w:r w:rsidRPr="00C83D1E">
        <w:rPr>
          <w:rFonts w:ascii="David" w:hAnsi="David"/>
          <w:b/>
          <w:bCs/>
          <w:noProof w:val="0"/>
          <w:sz w:val="26"/>
          <w:szCs w:val="26"/>
          <w:rtl/>
        </w:rPr>
        <w:t>לסיורים וטיולי שטח, בידי מי שעסקו ארגון סיורים או טיולים כאמור</w:t>
      </w:r>
      <w:r>
        <w:rPr>
          <w:rFonts w:ascii="David" w:hAnsi="David" w:hint="cs"/>
          <w:noProof w:val="0"/>
          <w:sz w:val="26"/>
          <w:szCs w:val="26"/>
          <w:rtl/>
        </w:rPr>
        <w:t>"</w:t>
      </w:r>
      <w:r w:rsidRPr="00C83D1E">
        <w:rPr>
          <w:rFonts w:ascii="David" w:hAnsi="David"/>
          <w:noProof w:val="0"/>
          <w:sz w:val="26"/>
          <w:szCs w:val="26"/>
          <w:rtl/>
        </w:rPr>
        <w:t>.</w:t>
      </w:r>
    </w:p>
    <w:p w:rsidR="00112166" w:rsidRDefault="00112166" w:rsidP="00D2087E">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ניתן להיווכח כי מחוקק המשנה קבע באופן קטגורי כי לא ניתן לנכות מס תשומות בגין שכירת רכב פרטי, והוא החריג וסייג מקרים בודדים ומוגדרים, שענייננו אינו בא בכללם. למותר לציין שבין אותם החריגים לא נקבע חריג שעניינו שימוש ברכב אך ורק לצרכי העסק, גם אם השימוש מובחן וברור. לו מחוקק המשנה היה מעוניין שהמבחן הרלוונטי יהיה מבחן מהותי</w:t>
      </w:r>
      <w:r w:rsidR="00D2087E">
        <w:rPr>
          <w:rFonts w:ascii="David" w:hAnsi="David" w:hint="cs"/>
          <w:noProof w:val="0"/>
          <w:sz w:val="26"/>
          <w:szCs w:val="26"/>
          <w:rtl/>
        </w:rPr>
        <w:t xml:space="preserve">, דהיינו, </w:t>
      </w:r>
      <w:r>
        <w:rPr>
          <w:rFonts w:ascii="David" w:hAnsi="David" w:hint="cs"/>
          <w:noProof w:val="0"/>
          <w:sz w:val="26"/>
          <w:szCs w:val="26"/>
          <w:rtl/>
        </w:rPr>
        <w:t xml:space="preserve">מהו אופי השימוש ברכב והאם הוא נעשה לצרכי </w:t>
      </w:r>
      <w:r>
        <w:rPr>
          <w:rFonts w:ascii="David" w:hAnsi="David" w:hint="cs"/>
          <w:noProof w:val="0"/>
          <w:sz w:val="26"/>
          <w:szCs w:val="26"/>
          <w:rtl/>
        </w:rPr>
        <w:lastRenderedPageBreak/>
        <w:t xml:space="preserve">העסק בלבד, </w:t>
      </w:r>
      <w:r w:rsidR="008704F0">
        <w:rPr>
          <w:rFonts w:ascii="David" w:hAnsi="David" w:hint="cs"/>
          <w:noProof w:val="0"/>
          <w:sz w:val="26"/>
          <w:szCs w:val="26"/>
          <w:rtl/>
        </w:rPr>
        <w:t xml:space="preserve">הוא </w:t>
      </w:r>
      <w:r>
        <w:rPr>
          <w:rFonts w:ascii="David" w:hAnsi="David" w:hint="cs"/>
          <w:noProof w:val="0"/>
          <w:sz w:val="26"/>
          <w:szCs w:val="26"/>
          <w:rtl/>
        </w:rPr>
        <w:t xml:space="preserve">היה קובע כך. הוראות תקנה 14 נקבעו בדיוק על מנת למנוע בירור עובדתי של מקרים כגון אלו. עמדתי על הדברים בפירוט בגדרי עניין </w:t>
      </w:r>
      <w:r w:rsidRPr="00A67872">
        <w:rPr>
          <w:rFonts w:ascii="David" w:hAnsi="David" w:hint="cs"/>
          <w:b/>
          <w:bCs/>
          <w:noProof w:val="0"/>
          <w:sz w:val="26"/>
          <w:szCs w:val="26"/>
          <w:rtl/>
        </w:rPr>
        <w:t>אבידר</w:t>
      </w:r>
      <w:r>
        <w:rPr>
          <w:rFonts w:ascii="David" w:hAnsi="David" w:hint="cs"/>
          <w:noProof w:val="0"/>
          <w:sz w:val="26"/>
          <w:szCs w:val="26"/>
          <w:rtl/>
        </w:rPr>
        <w:t xml:space="preserve"> ואין לי אלא להפנות לאמור שם.</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טוענת כי הרכבים לא יכולים היו לשמש לצורך פרטי, שכן הם מעולם לא עזבו את נתב"ג. אולם, אף אם מקרה זה פשוט יחסית לבירור מבחינה עובדתית, עדיין אין בכך לסייע למערערת. שכן, מה חטאו אותם עוסקים שגם השתמשו ברכב פרטי אך ורק לצרכי עסקם</w:t>
      </w:r>
      <w:r w:rsidR="008704F0">
        <w:rPr>
          <w:rFonts w:ascii="David" w:hAnsi="David" w:hint="cs"/>
          <w:noProof w:val="0"/>
          <w:sz w:val="26"/>
          <w:szCs w:val="26"/>
          <w:rtl/>
        </w:rPr>
        <w:t>,</w:t>
      </w:r>
      <w:r>
        <w:rPr>
          <w:rFonts w:ascii="David" w:hAnsi="David" w:hint="cs"/>
          <w:noProof w:val="0"/>
          <w:sz w:val="26"/>
          <w:szCs w:val="26"/>
          <w:rtl/>
        </w:rPr>
        <w:t xml:space="preserve"> כפי המערערת, אולם ההוכחה בעניינם אינה כה פשוטה? קבלת עמדת המערערת משמעה למעשה ריקון מתוכן של תקנה 14 תוך החלה של בחינה עובדתית על כל מקרה ומקרה </w:t>
      </w:r>
      <w:r>
        <w:rPr>
          <w:rFonts w:ascii="David" w:hAnsi="David"/>
          <w:noProof w:val="0"/>
          <w:sz w:val="26"/>
          <w:szCs w:val="26"/>
          <w:rtl/>
        </w:rPr>
        <w:t>–</w:t>
      </w:r>
      <w:r>
        <w:rPr>
          <w:rFonts w:ascii="David" w:hAnsi="David" w:hint="cs"/>
          <w:noProof w:val="0"/>
          <w:sz w:val="26"/>
          <w:szCs w:val="26"/>
          <w:rtl/>
        </w:rPr>
        <w:t xml:space="preserve"> האם הרכבים שימשו אך ורק לצרכי העסק. </w:t>
      </w:r>
    </w:p>
    <w:p w:rsidR="00112166" w:rsidRDefault="00112166" w:rsidP="008704F0">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לא מצאתי ממש בטענת המערערת</w:t>
      </w:r>
      <w:r w:rsidR="008704F0">
        <w:rPr>
          <w:rFonts w:ascii="David" w:hAnsi="David" w:hint="cs"/>
          <w:noProof w:val="0"/>
          <w:sz w:val="26"/>
          <w:szCs w:val="26"/>
          <w:rtl/>
        </w:rPr>
        <w:t>,</w:t>
      </w:r>
      <w:r>
        <w:rPr>
          <w:rFonts w:ascii="David" w:hAnsi="David" w:hint="cs"/>
          <w:noProof w:val="0"/>
          <w:sz w:val="26"/>
          <w:szCs w:val="26"/>
          <w:rtl/>
        </w:rPr>
        <w:t xml:space="preserve"> כי השימוש ברכבים הפרטיים נכפה עליה משום שהרשות אינה מאפשרת שימוש ברכבים גדולים. </w:t>
      </w:r>
      <w:r w:rsidRPr="002529F4">
        <w:rPr>
          <w:rFonts w:ascii="David" w:hAnsi="David" w:hint="cs"/>
          <w:b/>
          <w:bCs/>
          <w:noProof w:val="0"/>
          <w:sz w:val="26"/>
          <w:szCs w:val="26"/>
          <w:rtl/>
        </w:rPr>
        <w:t>ראשית</w:t>
      </w:r>
      <w:r>
        <w:rPr>
          <w:rFonts w:ascii="David" w:hAnsi="David" w:hint="cs"/>
          <w:noProof w:val="0"/>
          <w:sz w:val="26"/>
          <w:szCs w:val="26"/>
          <w:rtl/>
        </w:rPr>
        <w:t>, הטענה נטענה בעלמא ולא בוססה ופורטה כדבעי. כל שנטען בתצהיר נציג המערערת הוא כי "</w:t>
      </w:r>
      <w:r w:rsidRPr="002529F4">
        <w:rPr>
          <w:rFonts w:ascii="David" w:hAnsi="David" w:hint="cs"/>
          <w:b/>
          <w:bCs/>
          <w:noProof w:val="0"/>
          <w:sz w:val="26"/>
          <w:szCs w:val="26"/>
          <w:rtl/>
        </w:rPr>
        <w:t xml:space="preserve">לאור הנהלים הבטיחותיים הנוקשים בנמל התעופה, הרשות מטילה </w:t>
      </w:r>
      <w:r w:rsidRPr="00CB7FAA">
        <w:rPr>
          <w:rFonts w:ascii="David" w:hAnsi="David" w:hint="cs"/>
          <w:b/>
          <w:bCs/>
          <w:noProof w:val="0"/>
          <w:sz w:val="26"/>
          <w:szCs w:val="26"/>
          <w:u w:val="single"/>
          <w:rtl/>
        </w:rPr>
        <w:t>מגבלות משמעותיות</w:t>
      </w:r>
      <w:r w:rsidRPr="002529F4">
        <w:rPr>
          <w:rFonts w:ascii="David" w:hAnsi="David" w:hint="cs"/>
          <w:b/>
          <w:bCs/>
          <w:noProof w:val="0"/>
          <w:sz w:val="26"/>
          <w:szCs w:val="26"/>
          <w:rtl/>
        </w:rPr>
        <w:t xml:space="preserve"> על הכנסת רכבים גדולים לשטחי הנמל ומפקחת על הנושא</w:t>
      </w:r>
      <w:r>
        <w:rPr>
          <w:rFonts w:ascii="David" w:hAnsi="David" w:hint="cs"/>
          <w:noProof w:val="0"/>
          <w:sz w:val="26"/>
          <w:szCs w:val="26"/>
          <w:rtl/>
        </w:rPr>
        <w:t>" (סעיף 40 לתצהיר). לא ברור מהן "המגבלות המשמעותיות" והאם וכיצד ניתן לעקוף אותן ומהם "רכבים גדולים". יש הבדל ניכר בין הטלת "</w:t>
      </w:r>
      <w:r w:rsidRPr="00825679">
        <w:rPr>
          <w:rFonts w:ascii="David" w:hAnsi="David" w:hint="cs"/>
          <w:noProof w:val="0"/>
          <w:sz w:val="26"/>
          <w:szCs w:val="26"/>
          <w:rtl/>
        </w:rPr>
        <w:t>מגבלות משמעותיות</w:t>
      </w:r>
      <w:r>
        <w:rPr>
          <w:rFonts w:ascii="David" w:hAnsi="David" w:hint="cs"/>
          <w:noProof w:val="0"/>
          <w:sz w:val="26"/>
          <w:szCs w:val="26"/>
          <w:rtl/>
        </w:rPr>
        <w:t xml:space="preserve">" ובין איסור מוחלט, ולא הוכח אילו פעולות ניסתה המערערת לנקוט בעניין. </w:t>
      </w:r>
      <w:r w:rsidRPr="002529F4">
        <w:rPr>
          <w:rFonts w:ascii="David" w:hAnsi="David" w:hint="cs"/>
          <w:b/>
          <w:bCs/>
          <w:noProof w:val="0"/>
          <w:sz w:val="26"/>
          <w:szCs w:val="26"/>
          <w:rtl/>
        </w:rPr>
        <w:t>שנית</w:t>
      </w:r>
      <w:r>
        <w:rPr>
          <w:rFonts w:ascii="David" w:hAnsi="David" w:hint="cs"/>
          <w:noProof w:val="0"/>
          <w:sz w:val="26"/>
          <w:szCs w:val="26"/>
          <w:rtl/>
        </w:rPr>
        <w:t xml:space="preserve">, וזה העיקר, המערערת לא הסבירה מדוע היא לא משתמשת ברכבים אחרים שמותרים </w:t>
      </w:r>
      <w:r w:rsidR="008704F0">
        <w:rPr>
          <w:rFonts w:ascii="David" w:hAnsi="David" w:hint="cs"/>
          <w:noProof w:val="0"/>
          <w:sz w:val="26"/>
          <w:szCs w:val="26"/>
          <w:rtl/>
        </w:rPr>
        <w:t xml:space="preserve">לטענתה </w:t>
      </w:r>
      <w:r>
        <w:rPr>
          <w:rFonts w:ascii="David" w:hAnsi="David" w:hint="cs"/>
          <w:noProof w:val="0"/>
          <w:sz w:val="26"/>
          <w:szCs w:val="26"/>
          <w:rtl/>
        </w:rPr>
        <w:t>בשימוש על פי נוהלי הרשות ושאינם נכנסים בגדרי תקנה 14, דוגמת ג'יפים.</w:t>
      </w:r>
    </w:p>
    <w:p w:rsidR="00112166" w:rsidRPr="00556D4E"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אכן, הקביעה כי לא ניתן לנכות מס תשומות בגין רכבים פרטיים יכולה להיות שרירותית ובלתי הוגנת</w:t>
      </w:r>
      <w:r w:rsidR="00D2087E">
        <w:rPr>
          <w:rFonts w:ascii="David" w:hAnsi="David" w:hint="cs"/>
          <w:noProof w:val="0"/>
          <w:sz w:val="26"/>
          <w:szCs w:val="26"/>
          <w:rtl/>
        </w:rPr>
        <w:t>,</w:t>
      </w:r>
      <w:r>
        <w:rPr>
          <w:rFonts w:ascii="David" w:hAnsi="David" w:hint="cs"/>
          <w:noProof w:val="0"/>
          <w:sz w:val="26"/>
          <w:szCs w:val="26"/>
          <w:rtl/>
        </w:rPr>
        <w:t xml:space="preserve"> שכן גם רכבים פרטיים יכולים לשמש אך ורק לצורך העסק. ברם, כך קבע במפורש מחוקק המשנה ושיקוליו עמו. אין לי אלא לשוב ולקרוא למחוקק לבחון את העניין (וראו עניין </w:t>
      </w:r>
      <w:r w:rsidRPr="00FD6E76">
        <w:rPr>
          <w:rFonts w:ascii="David" w:hAnsi="David" w:hint="cs"/>
          <w:b/>
          <w:bCs/>
          <w:noProof w:val="0"/>
          <w:sz w:val="26"/>
          <w:szCs w:val="26"/>
          <w:rtl/>
        </w:rPr>
        <w:t>אבידר</w:t>
      </w:r>
      <w:r>
        <w:rPr>
          <w:rFonts w:ascii="David" w:hAnsi="David" w:hint="cs"/>
          <w:noProof w:val="0"/>
          <w:sz w:val="26"/>
          <w:szCs w:val="26"/>
          <w:rtl/>
        </w:rPr>
        <w:t>, בפס' 144). ממילא, לו המערערת חפצה הייתה לפעול בניגוד לדין שהיה ידוע וחל משך עשרות שנים, היה עליה לתקוף את התקנות באופן ישיר על מנת להביא לשינוין, ולא לפעול בניגוד אליהן תוך תקיפתן באופן עקיף בערעור המס.</w:t>
      </w:r>
    </w:p>
    <w:p w:rsidR="00112166" w:rsidRPr="00F85064" w:rsidRDefault="00112166" w:rsidP="00112166">
      <w:pPr>
        <w:spacing w:after="240" w:line="360" w:lineRule="auto"/>
        <w:jc w:val="both"/>
        <w:rPr>
          <w:rFonts w:ascii="David" w:hAnsi="David"/>
          <w:noProof w:val="0"/>
          <w:sz w:val="26"/>
          <w:szCs w:val="26"/>
          <w:u w:val="single"/>
        </w:rPr>
      </w:pPr>
      <w:r w:rsidRPr="00F85064">
        <w:rPr>
          <w:rFonts w:ascii="David" w:hAnsi="David" w:hint="cs"/>
          <w:noProof w:val="0"/>
          <w:sz w:val="26"/>
          <w:szCs w:val="26"/>
          <w:u w:val="single"/>
          <w:rtl/>
        </w:rPr>
        <w:t>התנהלות המשיב</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בכל הכבוד, לא מצאתי כי נפל פגם בהתנהלות המשיב בהחלטה בהשגה, בוודאי שלא פגם חמור שיש בו להביא לקבלת הערעור. ההחלטה בהשגה הייתה מנומקת ומפורטת, והתבססה על תשתית עובדתית מספקת.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 xml:space="preserve">בכל הנוגע למועד ההחלטה בהשגה, אין מחלוקת שהמשיב עמד בפרק הזמן הנתון לו להחלטה בהשגה. כפי שלכלל הנישומים, והמערערת בתוכם, הזכות להגיש את ההשגה ביום האחרון העומד לרשותם, כך גם למשיב נתונה הזכות המקבילה. לא נטען ובוודאי שלא הוכח כי למערערת נגרם נזק כלשהו ממתן ההחלטה במועד שבו היא ניתנה.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בכל הנוגע לטענות בדבר חוסר בתשתית העובדתית, אין הכרח שנותן ההחלטה בהשגה יבקר תמיד באופן פיזי בעסקו של הנישום טרם קבלת ההחלטה בהשגה, אלא אם הדבר נדרש לצורך מתן ההחלטה. במקרה הנדון ניתן להבין את הלך הדברים גם ללא ביקור בטרקלינים עצמם</w:t>
      </w:r>
      <w:r w:rsidRPr="00B73DB6">
        <w:rPr>
          <w:rFonts w:ascii="David" w:hAnsi="David" w:hint="cs"/>
          <w:noProof w:val="0"/>
          <w:sz w:val="26"/>
          <w:szCs w:val="26"/>
          <w:rtl/>
        </w:rPr>
        <w:t xml:space="preserve"> </w:t>
      </w:r>
      <w:r>
        <w:rPr>
          <w:rFonts w:ascii="David" w:hAnsi="David" w:hint="cs"/>
          <w:noProof w:val="0"/>
          <w:sz w:val="26"/>
          <w:szCs w:val="26"/>
          <w:rtl/>
        </w:rPr>
        <w:t>והא ראיה, שההחלטה בהשגה נכונה לגופה. כאמור לעיל, גם אם מדובר בשירות יוקרתי ואקסקלוסיבי עשרות מונים, עדיין מדובר בשירות זהה מבחינה מהותית לזה שניתן בבתי הקפה והמסעדות.</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גם אין ממש בטענה כי היה על נותן ההחלטה בהשגה להיוועץ עם המחלקה המקצועית, שכן המחלקה המקצועית היא שחזרה בה מעמדתה והיא שטעתה בפרשנותה את הדין. נראה כי דווקא על המחלקה המקצועית היה להיוועץ עם גורמים אחרים קודם למתן הרולינג.</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כן אין ממש בטענה כי ההחלטה התקבלה תוך דחייה קטגורית ובלתי מבוססת של טענות המערערת ביחס לשימוש ברכב. בענייננו כאמור, אף בהנחה שכל טענותיה העובדתיות של המערערת נכונות, עדיין לא היה מקום להתיר לה את ניכוי התשומות בגין השימוש ברכבים.</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ממילא, אף אם אניח כי היו פגמים מסוימים במסגרת ההחלטה בהשגה, הם נרפאו במסגרת הליך זה (</w:t>
      </w:r>
      <w:r w:rsidRPr="002928C7">
        <w:rPr>
          <w:rFonts w:ascii="David" w:hAnsi="David"/>
          <w:noProof w:val="0"/>
          <w:sz w:val="26"/>
          <w:szCs w:val="26"/>
          <w:rtl/>
        </w:rPr>
        <w:t xml:space="preserve">ע"א 5072/19 </w:t>
      </w:r>
      <w:r w:rsidRPr="002928C7">
        <w:rPr>
          <w:rFonts w:ascii="David" w:hAnsi="David"/>
          <w:b/>
          <w:bCs/>
          <w:noProof w:val="0"/>
          <w:sz w:val="26"/>
          <w:szCs w:val="26"/>
          <w:rtl/>
        </w:rPr>
        <w:t>שווארמה א.ש. בע"מ נ' פקיד שומה חדרה</w:t>
      </w:r>
      <w:r>
        <w:rPr>
          <w:rFonts w:ascii="David" w:hAnsi="David" w:hint="cs"/>
          <w:noProof w:val="0"/>
          <w:sz w:val="26"/>
          <w:szCs w:val="26"/>
          <w:rtl/>
        </w:rPr>
        <w:t>, פס' 16</w:t>
      </w:r>
      <w:r>
        <w:rPr>
          <w:rFonts w:ascii="David" w:hAnsi="David"/>
          <w:noProof w:val="0"/>
          <w:sz w:val="26"/>
          <w:szCs w:val="26"/>
          <w:rtl/>
        </w:rPr>
        <w:t xml:space="preserve"> (9.</w:t>
      </w:r>
      <w:r w:rsidRPr="002928C7">
        <w:rPr>
          <w:rFonts w:ascii="David" w:hAnsi="David"/>
          <w:noProof w:val="0"/>
          <w:sz w:val="26"/>
          <w:szCs w:val="26"/>
          <w:rtl/>
        </w:rPr>
        <w:t>5.2021)</w:t>
      </w:r>
      <w:r>
        <w:rPr>
          <w:rFonts w:ascii="David" w:hAnsi="David" w:hint="cs"/>
          <w:noProof w:val="0"/>
          <w:sz w:val="26"/>
          <w:szCs w:val="26"/>
          <w:rtl/>
        </w:rPr>
        <w:t xml:space="preserve">; </w:t>
      </w:r>
      <w:r w:rsidRPr="002928C7">
        <w:rPr>
          <w:rFonts w:ascii="David" w:hAnsi="David"/>
          <w:noProof w:val="0"/>
          <w:sz w:val="26"/>
          <w:szCs w:val="26"/>
          <w:rtl/>
        </w:rPr>
        <w:t xml:space="preserve">ע"מ (מחוזי </w:t>
      </w:r>
      <w:r>
        <w:rPr>
          <w:rFonts w:ascii="David" w:hAnsi="David" w:hint="cs"/>
          <w:noProof w:val="0"/>
          <w:sz w:val="26"/>
          <w:szCs w:val="26"/>
          <w:rtl/>
        </w:rPr>
        <w:t>ת"א</w:t>
      </w:r>
      <w:r w:rsidRPr="002928C7">
        <w:rPr>
          <w:rFonts w:ascii="David" w:hAnsi="David"/>
          <w:noProof w:val="0"/>
          <w:sz w:val="26"/>
          <w:szCs w:val="26"/>
          <w:rtl/>
        </w:rPr>
        <w:t xml:space="preserve">) 62797-05-18 </w:t>
      </w:r>
      <w:r w:rsidRPr="002928C7">
        <w:rPr>
          <w:rFonts w:ascii="David" w:hAnsi="David"/>
          <w:b/>
          <w:bCs/>
          <w:noProof w:val="0"/>
          <w:sz w:val="26"/>
          <w:szCs w:val="26"/>
          <w:rtl/>
        </w:rPr>
        <w:t>ברגיג נ' רשות המיסים בישראל-היחידה הארצית לשומה</w:t>
      </w:r>
      <w:r w:rsidRPr="002928C7">
        <w:rPr>
          <w:rFonts w:ascii="David" w:hAnsi="David"/>
          <w:noProof w:val="0"/>
          <w:sz w:val="26"/>
          <w:szCs w:val="26"/>
          <w:rtl/>
        </w:rPr>
        <w:t xml:space="preserve"> (</w:t>
      </w:r>
      <w:r>
        <w:rPr>
          <w:rFonts w:ascii="David" w:hAnsi="David"/>
          <w:noProof w:val="0"/>
          <w:sz w:val="26"/>
          <w:szCs w:val="26"/>
          <w:rtl/>
        </w:rPr>
        <w:t>10.</w:t>
      </w:r>
      <w:r w:rsidRPr="002928C7">
        <w:rPr>
          <w:rFonts w:ascii="David" w:hAnsi="David"/>
          <w:noProof w:val="0"/>
          <w:sz w:val="26"/>
          <w:szCs w:val="26"/>
          <w:rtl/>
        </w:rPr>
        <w:t>6.2021)</w:t>
      </w:r>
      <w:r>
        <w:rPr>
          <w:rFonts w:ascii="David" w:hAnsi="David" w:hint="cs"/>
          <w:noProof w:val="0"/>
          <w:sz w:val="26"/>
          <w:szCs w:val="26"/>
          <w:rtl/>
        </w:rPr>
        <w:t xml:space="preserve">, ערעור על פסק הדין נדחה בגדרי </w:t>
      </w:r>
      <w:r w:rsidRPr="002928C7">
        <w:rPr>
          <w:rFonts w:ascii="David" w:hAnsi="David"/>
          <w:noProof w:val="0"/>
          <w:sz w:val="26"/>
          <w:szCs w:val="26"/>
          <w:rtl/>
        </w:rPr>
        <w:t xml:space="preserve">ע"א 7638/21 </w:t>
      </w:r>
      <w:r w:rsidRPr="002928C7">
        <w:rPr>
          <w:rFonts w:ascii="David" w:hAnsi="David"/>
          <w:b/>
          <w:bCs/>
          <w:noProof w:val="0"/>
          <w:sz w:val="26"/>
          <w:szCs w:val="26"/>
          <w:rtl/>
        </w:rPr>
        <w:t>ברגיג נ' מדינת ישראל</w:t>
      </w:r>
      <w:r w:rsidRPr="002928C7">
        <w:rPr>
          <w:rFonts w:ascii="David" w:hAnsi="David"/>
          <w:noProof w:val="0"/>
          <w:sz w:val="26"/>
          <w:szCs w:val="26"/>
          <w:rtl/>
        </w:rPr>
        <w:t xml:space="preserve"> (</w:t>
      </w:r>
      <w:r>
        <w:rPr>
          <w:rFonts w:ascii="David" w:hAnsi="David"/>
          <w:noProof w:val="0"/>
          <w:sz w:val="26"/>
          <w:szCs w:val="26"/>
          <w:rtl/>
        </w:rPr>
        <w:t>11.</w:t>
      </w:r>
      <w:r w:rsidRPr="002928C7">
        <w:rPr>
          <w:rFonts w:ascii="David" w:hAnsi="David"/>
          <w:noProof w:val="0"/>
          <w:sz w:val="26"/>
          <w:szCs w:val="26"/>
          <w:rtl/>
        </w:rPr>
        <w:t>1.2023)</w:t>
      </w:r>
      <w:r>
        <w:rPr>
          <w:rFonts w:ascii="David" w:hAnsi="David" w:hint="cs"/>
          <w:noProof w:val="0"/>
          <w:sz w:val="26"/>
          <w:szCs w:val="26"/>
          <w:rtl/>
        </w:rPr>
        <w:t>).</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ביחס לביטול הרולינג, לא רק שלא מצאתי פגם בהתנהלות המשיב, אלא אני סבורה שהמשיב התנהל בדרך ראויה. המשיב הבין כי הרולינג שיצא תחת המחלקה המקצועית הוא שגוי, והמשיב פעל כמצופה כאשר ביטל אותו ביחס לעוסק האחר. המשיב אינו כבול בטעותו לנצח.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ויודגש, כי המערערת לא הייתה יכולה להסתמך על הרולינג ולשנות מצבה לרעה בעקבותיו, שכן הוא ניתן לעוסק אחר, כחודש לאחר הגשת הערעור, ואף המערערת </w:t>
      </w:r>
      <w:r>
        <w:rPr>
          <w:rFonts w:ascii="David" w:hAnsi="David" w:hint="cs"/>
          <w:noProof w:val="0"/>
          <w:sz w:val="26"/>
          <w:szCs w:val="26"/>
          <w:rtl/>
        </w:rPr>
        <w:lastRenderedPageBreak/>
        <w:t>טוענת כי עניין הרולינג "</w:t>
      </w:r>
      <w:r w:rsidRPr="008839C4">
        <w:rPr>
          <w:rFonts w:ascii="David" w:hAnsi="David" w:hint="cs"/>
          <w:b/>
          <w:bCs/>
          <w:noProof w:val="0"/>
          <w:sz w:val="26"/>
          <w:szCs w:val="26"/>
          <w:rtl/>
        </w:rPr>
        <w:t>התברר בדיעבד</w:t>
      </w:r>
      <w:r>
        <w:rPr>
          <w:rFonts w:ascii="David" w:hAnsi="David" w:hint="cs"/>
          <w:noProof w:val="0"/>
          <w:sz w:val="26"/>
          <w:szCs w:val="26"/>
          <w:rtl/>
        </w:rPr>
        <w:t>" (סעיף 16 לסיכומי המערערת). לכל היותר, המערערת יכולה הייתה לטעון לאפליה פסולה ביחס לעוסק האחר. אולם, שעה שהרולינג בוטל ולא חל על העוסק האחר, לא יכולה להיות לה כל טענה בעניין. ממילא, אין לגרור טעות של המשיב כלפי עוסק אחר, שהוא פועל לתקנה, כלפי יתר העוסקים.</w:t>
      </w:r>
      <w:r w:rsidRPr="00FB783C">
        <w:rPr>
          <w:rFonts w:ascii="David" w:hAnsi="David" w:hint="cs"/>
          <w:noProof w:val="0"/>
          <w:sz w:val="26"/>
          <w:szCs w:val="26"/>
          <w:rtl/>
        </w:rPr>
        <w:t xml:space="preserve">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המערערת אינה יכולה לטעון לעניין "שרירות" או אי-תקינות ביטול הרולינג שכן הוא לא ניתן לה ואין לה כל מעמד או ידיעה אישית בעניין, ולא בכדי טענותיה הן "על פני הדברים" וכעולה מנסיבות העניין (למשל, סעיפים 22 ו-24 לסיכומי המערערת). המערערת אף לא יודעת אם אותו עוסק פעל בעניין הביטול (סעיף 33 לתצהיר המערערת). </w:t>
      </w:r>
    </w:p>
    <w:p w:rsidR="00112166" w:rsidRDefault="00112166" w:rsidP="00112166">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בכלל, יש טעם לפגם בכך שהמערערת טוענת כנגד ביטולו של הרולינג בשל טעות, שעה שהיא עצמה דיווחה על הכנסותיה מגורמים מקומיים כהכנסות החייבות במע"מ בשיעור מלא, ואילו במסגרת הליך זה היא חזרה בה מעמדתה בשל כך שהיא שגויה לדעתה.</w:t>
      </w:r>
    </w:p>
    <w:p w:rsidR="008704F0" w:rsidRDefault="00112166" w:rsidP="00112166">
      <w:pPr>
        <w:numPr>
          <w:ilvl w:val="0"/>
          <w:numId w:val="1"/>
        </w:numPr>
        <w:spacing w:after="240" w:line="360" w:lineRule="auto"/>
        <w:jc w:val="both"/>
        <w:rPr>
          <w:rFonts w:ascii="David" w:hAnsi="David"/>
          <w:noProof w:val="0"/>
          <w:sz w:val="26"/>
          <w:szCs w:val="26"/>
        </w:rPr>
      </w:pPr>
      <w:r w:rsidRPr="003D024E">
        <w:rPr>
          <w:rFonts w:ascii="David" w:hAnsi="David"/>
          <w:noProof w:val="0"/>
          <w:sz w:val="26"/>
          <w:szCs w:val="26"/>
          <w:rtl/>
        </w:rPr>
        <w:t xml:space="preserve">סיכומם של דברים, </w:t>
      </w:r>
      <w:r>
        <w:rPr>
          <w:rFonts w:ascii="David" w:hAnsi="David" w:hint="cs"/>
          <w:noProof w:val="0"/>
          <w:sz w:val="26"/>
          <w:szCs w:val="26"/>
          <w:rtl/>
        </w:rPr>
        <w:t>הערעור נדחה</w:t>
      </w:r>
      <w:r w:rsidRPr="003D024E">
        <w:rPr>
          <w:rFonts w:ascii="David" w:hAnsi="David"/>
          <w:noProof w:val="0"/>
          <w:sz w:val="26"/>
          <w:szCs w:val="26"/>
          <w:rtl/>
        </w:rPr>
        <w:t xml:space="preserve">. </w:t>
      </w:r>
    </w:p>
    <w:p w:rsidR="00112166" w:rsidRPr="00EE49CB" w:rsidRDefault="00112166" w:rsidP="00B46F97">
      <w:pPr>
        <w:spacing w:after="240" w:line="360" w:lineRule="auto"/>
        <w:ind w:left="360"/>
        <w:jc w:val="both"/>
        <w:rPr>
          <w:rFonts w:ascii="David" w:hAnsi="David"/>
          <w:noProof w:val="0"/>
          <w:sz w:val="26"/>
          <w:szCs w:val="26"/>
        </w:rPr>
      </w:pPr>
      <w:r>
        <w:rPr>
          <w:rFonts w:ascii="David" w:hAnsi="David" w:hint="cs"/>
          <w:noProof w:val="0"/>
          <w:sz w:val="26"/>
          <w:szCs w:val="26"/>
          <w:rtl/>
        </w:rPr>
        <w:t>המערערת תישא</w:t>
      </w:r>
      <w:r w:rsidRPr="003D024E">
        <w:rPr>
          <w:rFonts w:ascii="David" w:hAnsi="David"/>
          <w:noProof w:val="0"/>
          <w:sz w:val="26"/>
          <w:szCs w:val="26"/>
          <w:rtl/>
        </w:rPr>
        <w:t xml:space="preserve"> בהוצאות ה</w:t>
      </w:r>
      <w:r>
        <w:rPr>
          <w:rFonts w:ascii="David" w:hAnsi="David" w:hint="cs"/>
          <w:noProof w:val="0"/>
          <w:sz w:val="26"/>
          <w:szCs w:val="26"/>
          <w:rtl/>
        </w:rPr>
        <w:t>משיב</w:t>
      </w:r>
      <w:r w:rsidRPr="003D024E">
        <w:rPr>
          <w:rFonts w:ascii="David" w:hAnsi="David"/>
          <w:noProof w:val="0"/>
          <w:sz w:val="26"/>
          <w:szCs w:val="26"/>
          <w:rtl/>
        </w:rPr>
        <w:t xml:space="preserve"> ובשכ"ט באי-כוח</w:t>
      </w:r>
      <w:r>
        <w:rPr>
          <w:rFonts w:ascii="David" w:hAnsi="David" w:hint="cs"/>
          <w:noProof w:val="0"/>
          <w:sz w:val="26"/>
          <w:szCs w:val="26"/>
          <w:rtl/>
        </w:rPr>
        <w:t>ו</w:t>
      </w:r>
      <w:r w:rsidRPr="003D024E">
        <w:rPr>
          <w:rFonts w:ascii="David" w:hAnsi="David"/>
          <w:noProof w:val="0"/>
          <w:sz w:val="26"/>
          <w:szCs w:val="26"/>
          <w:rtl/>
        </w:rPr>
        <w:t xml:space="preserve"> בסך של </w:t>
      </w:r>
      <w:r>
        <w:rPr>
          <w:rFonts w:ascii="David" w:hAnsi="David" w:hint="cs"/>
          <w:noProof w:val="0"/>
          <w:sz w:val="26"/>
          <w:szCs w:val="26"/>
          <w:rtl/>
        </w:rPr>
        <w:t>90</w:t>
      </w:r>
      <w:r w:rsidRPr="003D024E">
        <w:rPr>
          <w:rFonts w:ascii="David" w:hAnsi="David"/>
          <w:noProof w:val="0"/>
          <w:sz w:val="26"/>
          <w:szCs w:val="26"/>
          <w:rtl/>
        </w:rPr>
        <w:t>,000 ש"ח.</w:t>
      </w:r>
      <w:r>
        <w:rPr>
          <w:rFonts w:ascii="David" w:hAnsi="David" w:hint="cs"/>
          <w:noProof w:val="0"/>
          <w:sz w:val="26"/>
          <w:szCs w:val="26"/>
          <w:rtl/>
        </w:rPr>
        <w:t xml:space="preserve"> בפסיקת ההוצאות הבאתי בחשבון</w:t>
      </w:r>
      <w:r w:rsidR="002E365C">
        <w:rPr>
          <w:rFonts w:ascii="David" w:hAnsi="David" w:hint="cs"/>
          <w:noProof w:val="0"/>
          <w:sz w:val="26"/>
          <w:szCs w:val="26"/>
          <w:rtl/>
        </w:rPr>
        <w:t>,</w:t>
      </w:r>
      <w:r>
        <w:rPr>
          <w:rFonts w:ascii="David" w:hAnsi="David" w:hint="cs"/>
          <w:noProof w:val="0"/>
          <w:sz w:val="26"/>
          <w:szCs w:val="26"/>
          <w:rtl/>
        </w:rPr>
        <w:t xml:space="preserve"> מצד אחד</w:t>
      </w:r>
      <w:r w:rsidR="002E365C">
        <w:rPr>
          <w:rFonts w:ascii="David" w:hAnsi="David" w:hint="cs"/>
          <w:noProof w:val="0"/>
          <w:sz w:val="26"/>
          <w:szCs w:val="26"/>
          <w:rtl/>
        </w:rPr>
        <w:t>,</w:t>
      </w:r>
      <w:r>
        <w:rPr>
          <w:rFonts w:ascii="David" w:hAnsi="David" w:hint="cs"/>
          <w:noProof w:val="0"/>
          <w:sz w:val="26"/>
          <w:szCs w:val="26"/>
          <w:rtl/>
        </w:rPr>
        <w:t xml:space="preserve"> את עמידתה של המערערת על טענות חסרות בסיס ובזבוז המשאבים המשווע שנגרם בשל כך</w:t>
      </w:r>
      <w:r w:rsidR="002E365C">
        <w:rPr>
          <w:rFonts w:ascii="David" w:hAnsi="David" w:hint="cs"/>
          <w:noProof w:val="0"/>
          <w:sz w:val="26"/>
          <w:szCs w:val="26"/>
          <w:rtl/>
        </w:rPr>
        <w:t>,</w:t>
      </w:r>
      <w:r>
        <w:rPr>
          <w:rFonts w:ascii="David" w:hAnsi="David" w:hint="cs"/>
          <w:noProof w:val="0"/>
          <w:sz w:val="26"/>
          <w:szCs w:val="26"/>
          <w:rtl/>
        </w:rPr>
        <w:t xml:space="preserve"> ומצד שני</w:t>
      </w:r>
      <w:r w:rsidR="002E365C">
        <w:rPr>
          <w:rFonts w:ascii="David" w:hAnsi="David" w:hint="cs"/>
          <w:noProof w:val="0"/>
          <w:sz w:val="26"/>
          <w:szCs w:val="26"/>
          <w:rtl/>
        </w:rPr>
        <w:t>,</w:t>
      </w:r>
      <w:r>
        <w:rPr>
          <w:rFonts w:ascii="David" w:hAnsi="David" w:hint="cs"/>
          <w:noProof w:val="0"/>
          <w:sz w:val="26"/>
          <w:szCs w:val="26"/>
          <w:rtl/>
        </w:rPr>
        <w:t xml:space="preserve"> את איחורו של המשיב בהגשת הסיכומים ובאי-גילויו את הרולינג ב</w:t>
      </w:r>
      <w:r w:rsidR="00B46F97">
        <w:rPr>
          <w:rFonts w:ascii="David" w:hAnsi="David" w:hint="cs"/>
          <w:noProof w:val="0"/>
          <w:sz w:val="26"/>
          <w:szCs w:val="26"/>
          <w:rtl/>
        </w:rPr>
        <w:t>מסגרת כתב התשובה</w:t>
      </w:r>
      <w:r>
        <w:rPr>
          <w:rFonts w:ascii="David" w:hAnsi="David" w:hint="cs"/>
          <w:noProof w:val="0"/>
          <w:sz w:val="26"/>
          <w:szCs w:val="26"/>
          <w:rtl/>
        </w:rPr>
        <w:t>.</w:t>
      </w:r>
    </w:p>
    <w:p w:rsidR="00694556" w:rsidRPr="0011216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כ"ה תשרי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10 אוקטובר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841208">
      <w:pPr>
        <w:spacing w:line="360" w:lineRule="auto"/>
        <w:ind w:left="3600" w:firstLine="720"/>
        <w:jc w:val="both"/>
      </w:pPr>
      <w:sdt>
        <w:sdtPr>
          <w:rPr>
            <w:rtl/>
          </w:rPr>
          <w:alias w:val="MergeField"/>
          <w:tag w:val="1237"/>
          <w:id w:val="-121849363"/>
        </w:sdtPr>
        <w:sdtEndPr/>
        <w:sdtContent>
          <w:r w:rsidR="00BC5024">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208" w:rsidRDefault="00841208">
      <w:r>
        <w:separator/>
      </w:r>
    </w:p>
  </w:endnote>
  <w:endnote w:type="continuationSeparator" w:id="0">
    <w:p w:rsidR="00841208" w:rsidRDefault="00841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540FDB">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540FDB">
      <w:rPr>
        <w:rStyle w:val="ae"/>
        <w:rtl/>
      </w:rPr>
      <w:t>19</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208" w:rsidRDefault="00841208">
      <w:r>
        <w:separator/>
      </w:r>
    </w:p>
  </w:footnote>
  <w:footnote w:type="continuationSeparator" w:id="0">
    <w:p w:rsidR="00841208" w:rsidRDefault="00841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9"/>
      <w:gridCol w:w="3528"/>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10 אוקטובר 2023</w:t>
              </w:r>
            </w:p>
          </w:tc>
        </w:sdtContent>
      </w:sdt>
    </w:tr>
    <w:tr w:rsidR="00694556">
      <w:trPr>
        <w:trHeight w:val="337"/>
        <w:jc w:val="center"/>
      </w:trPr>
      <w:tc>
        <w:tcPr>
          <w:tcW w:w="8721" w:type="dxa"/>
          <w:gridSpan w:val="2"/>
        </w:tcPr>
        <w:p w:rsidR="00694556" w:rsidRPr="00073DCB" w:rsidRDefault="00841208" w:rsidP="00073DCB">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18729-01-21</w:t>
              </w:r>
            </w:sdtContent>
          </w:sdt>
          <w:r w:rsidR="00005C8B">
            <w:rPr>
              <w:b/>
              <w:bCs/>
              <w:noProof w:val="0"/>
              <w:sz w:val="26"/>
              <w:szCs w:val="26"/>
              <w:rtl/>
            </w:rPr>
            <w:t xml:space="preserve"> </w:t>
          </w:r>
          <w:sdt>
            <w:sdtPr>
              <w:rPr>
                <w:b/>
                <w:bCs/>
                <w:sz w:val="26"/>
                <w:szCs w:val="26"/>
                <w:rtl/>
              </w:rPr>
              <w:alias w:val="1172"/>
              <w:tag w:val="1172"/>
              <w:id w:val="-1465882637"/>
              <w:text w:multiLine="1"/>
            </w:sdtPr>
            <w:sdtEndPr/>
            <w:sdtContent>
              <w:r w:rsidR="00D3013B" w:rsidRPr="00073DCB">
                <w:rPr>
                  <w:b/>
                  <w:bCs/>
                  <w:noProof w:val="0"/>
                  <w:sz w:val="26"/>
                  <w:szCs w:val="26"/>
                  <w:rtl/>
                </w:rPr>
                <w:t xml:space="preserve">טרקליני אח"מ , מבית מלונות דן ו-קיו.איי.אס נ' </w:t>
              </w:r>
              <w:r w:rsidR="00073DCB" w:rsidRPr="00073DCB">
                <w:rPr>
                  <w:rFonts w:hint="cs"/>
                  <w:b/>
                  <w:bCs/>
                  <w:sz w:val="26"/>
                  <w:szCs w:val="26"/>
                  <w:rtl/>
                </w:rPr>
                <w:t>מנהל מע"מ ת"א</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4A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72500B"/>
    <w:multiLevelType w:val="hybridMultilevel"/>
    <w:tmpl w:val="57A27D66"/>
    <w:lvl w:ilvl="0" w:tplc="2BFA6B9A">
      <w:start w:val="1"/>
      <w:numFmt w:val="decimal"/>
      <w:lvlText w:val="%1."/>
      <w:lvlJc w:val="left"/>
      <w:pPr>
        <w:tabs>
          <w:tab w:val="num" w:pos="720"/>
        </w:tabs>
        <w:ind w:left="720" w:hanging="360"/>
      </w:pPr>
      <w:rPr>
        <w:rFonts w:cs="David"/>
      </w:rPr>
    </w:lvl>
    <w:lvl w:ilvl="1" w:tplc="04090013">
      <w:start w:val="1"/>
      <w:numFmt w:val="hebrew1"/>
      <w:lvlText w:val="%2."/>
      <w:lvlJc w:val="center"/>
      <w:pPr>
        <w:tabs>
          <w:tab w:val="num" w:pos="1440"/>
        </w:tabs>
        <w:ind w:left="1440" w:hanging="360"/>
      </w:pPr>
      <w:rPr>
        <w:rFonts w:cs="Times New Roman"/>
        <w:szCs w:val="24"/>
      </w:rPr>
    </w:lvl>
    <w:lvl w:ilvl="2" w:tplc="040D001B">
      <w:start w:val="1"/>
      <w:numFmt w:val="decimal"/>
      <w:lvlText w:val="%3."/>
      <w:lvlJc w:val="left"/>
      <w:pPr>
        <w:tabs>
          <w:tab w:val="num" w:pos="2160"/>
        </w:tabs>
        <w:ind w:left="2160" w:hanging="360"/>
      </w:pPr>
    </w:lvl>
    <w:lvl w:ilvl="3" w:tplc="040D000F">
      <w:start w:val="1"/>
      <w:numFmt w:val="decimal"/>
      <w:lvlText w:val="%4."/>
      <w:lvlJc w:val="left"/>
      <w:pPr>
        <w:tabs>
          <w:tab w:val="num" w:pos="2880"/>
        </w:tabs>
        <w:ind w:left="2880" w:hanging="360"/>
      </w:pPr>
    </w:lvl>
    <w:lvl w:ilvl="4" w:tplc="040D0019">
      <w:start w:val="1"/>
      <w:numFmt w:val="decimal"/>
      <w:lvlText w:val="%5."/>
      <w:lvlJc w:val="left"/>
      <w:pPr>
        <w:tabs>
          <w:tab w:val="num" w:pos="3600"/>
        </w:tabs>
        <w:ind w:left="3600" w:hanging="360"/>
      </w:pPr>
    </w:lvl>
    <w:lvl w:ilvl="5" w:tplc="040D001B">
      <w:start w:val="1"/>
      <w:numFmt w:val="decimal"/>
      <w:lvlText w:val="%6."/>
      <w:lvlJc w:val="left"/>
      <w:pPr>
        <w:tabs>
          <w:tab w:val="num" w:pos="4320"/>
        </w:tabs>
        <w:ind w:left="4320" w:hanging="360"/>
      </w:pPr>
    </w:lvl>
    <w:lvl w:ilvl="6" w:tplc="040D000F">
      <w:start w:val="1"/>
      <w:numFmt w:val="decimal"/>
      <w:lvlText w:val="%7."/>
      <w:lvlJc w:val="left"/>
      <w:pPr>
        <w:tabs>
          <w:tab w:val="num" w:pos="5040"/>
        </w:tabs>
        <w:ind w:left="5040" w:hanging="360"/>
      </w:pPr>
    </w:lvl>
    <w:lvl w:ilvl="7" w:tplc="040D0019">
      <w:start w:val="1"/>
      <w:numFmt w:val="decimal"/>
      <w:lvlText w:val="%8."/>
      <w:lvlJc w:val="left"/>
      <w:pPr>
        <w:tabs>
          <w:tab w:val="num" w:pos="5760"/>
        </w:tabs>
        <w:ind w:left="5760" w:hanging="360"/>
      </w:pPr>
    </w:lvl>
    <w:lvl w:ilvl="8" w:tplc="040D001B">
      <w:start w:val="1"/>
      <w:numFmt w:val="decimal"/>
      <w:lvlText w:val="%9."/>
      <w:lvlJc w:val="left"/>
      <w:pPr>
        <w:tabs>
          <w:tab w:val="num" w:pos="6480"/>
        </w:tabs>
        <w:ind w:left="6480" w:hanging="360"/>
      </w:pPr>
    </w:lvl>
  </w:abstractNum>
  <w:abstractNum w:abstractNumId="2"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271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27148&amp;lt;/CaseID&amp;gt;_x000d__x000a_        &amp;lt;CaseMonth&amp;gt;1&amp;lt;/CaseMonth&amp;gt;_x000d__x000a_        &amp;lt;CaseYear&amp;gt;2021&amp;lt;/CaseYear&amp;gt;_x000d__x000a_        &amp;lt;CaseNumber&amp;gt;18729&amp;lt;/CaseNumber&amp;gt;_x000d__x000a_        &amp;lt;NumeratorGroupID&amp;gt;1&amp;lt;/NumeratorGroupID&amp;gt;_x000d__x000a_        &amp;lt;CaseName&amp;gt;טרקליני אח&amp;quot;מ , מבית מלונות דן ו-קיו.איי.אס - שותפו נ&amp;#39; רשות המיסים&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8729-01-21&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1-11T10:40: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משיב - 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27148&amp;lt;/CaseID&amp;gt;_x000d__x000a_        &amp;lt;CaseMonth&amp;gt;1&amp;lt;/CaseMonth&amp;gt;_x000d__x000a_        &amp;lt;CaseYear&amp;gt;2021&amp;lt;/CaseYear&amp;gt;_x000d__x000a_        &amp;lt;CaseNumber&amp;gt;18729&amp;lt;/CaseNumber&amp;gt;_x000d__x000a_        &amp;lt;NumeratorGroupID&amp;gt;1&amp;lt;/NumeratorGroupID&amp;gt;_x000d__x000a_        &amp;lt;CaseName&amp;gt;טרקליני אח&amp;quot;מ , מבית מלונות דן ו-קיו.איי.אס - שותפו נ&amp;#39; רשות המיסים&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8729-01-21&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1-01-11T10:40:00+02: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סיכומי משיב - 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64445&amp;lt;/DecisionID&amp;gt;_x000d__x000a_        &amp;lt;DecisionName&amp;gt;פסק דין  שניתנה ע&amp;quot;י  ירדנה סרוסי&amp;lt;/DecisionName&amp;gt;_x000d__x000a_        &amp;lt;DecisionStatusID&amp;gt;1&amp;lt;/DecisionStatusID&amp;gt;_x000d__x000a_        &amp;lt;DecisionStatusChangeDate&amp;gt;2023-10-09T17:19:12.23+03:00&amp;lt;/DecisionStatusChangeDate&amp;gt;_x000d__x000a_        &amp;lt;DecisionSignatureDate&amp;gt;2023-10-09T12:18:55.197+03:00&amp;lt;/DecisionSignatureDate&amp;gt;_x000d__x000a_        &amp;lt;DecisionSignatureUserID&amp;gt;059168047@GOV.IL&amp;lt;/DecisionSignatureUserID&amp;gt;_x000d__x000a_        &amp;lt;DecisionCreateDate&amp;gt;2023-10-09T12:24:21.44+03:00&amp;lt;/DecisionCreateDate&amp;gt;_x000d__x000a_        &amp;lt;DecisionChangeDate&amp;gt;2023-10-09T17:19:12.463+03:00&amp;lt;/DecisionChangeDate&amp;gt;_x000d__x000a_        &amp;lt;DecisionChangeUserID&amp;gt;0219933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1598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7464445&amp;lt;/DecisionID&amp;gt;_x000d__x000a_        &amp;lt;CaseID&amp;gt;78027148&amp;lt;/CaseID&amp;gt;_x000d__x000a_        &amp;lt;IsOriginal&amp;gt;true&amp;lt;/IsOriginal&amp;gt;_x000d__x000a_        &amp;lt;IsDeleted&amp;gt;false&amp;lt;/IsDeleted&amp;gt;_x000d__x000a_        &amp;lt;CaseName&amp;gt;טרקליני אח&amp;quot;מ , מבית מלונות דן ו-קיו.איי.אס - שותפו נ&amp;#39; רשות המיסים&amp;lt;/CaseName&amp;gt;_x000d__x000a_        &amp;lt;CaseDisplayIdentifier&amp;gt;18729-01-21 ע&amp;quot;מ&amp;lt;/CaseDisplayIdentifier&amp;gt;_x000d__x000a_      &amp;lt;/dt_DecisionCase&amp;gt;_x000d__x000a_    &amp;lt;/DecisionDS&amp;gt;_x000d__x000a_  &amp;lt;/diffgr:diffgram&amp;gt;_x000d__x000a_&amp;lt;/DecisionDS&amp;gt;"/>
    <w:docVar w:name="DecisionID" w:val="147464445"/>
    <w:docVar w:name="WordClientAssemblyName" w:val="NGCS.Decision.ClientWordBL"/>
    <w:docVar w:name="WordClientClassName" w:val="NGCS.Decision.ClientWordBL.DecisionClient"/>
  </w:docVars>
  <w:rsids>
    <w:rsidRoot w:val="00694556"/>
    <w:rsid w:val="00005C8B"/>
    <w:rsid w:val="00010982"/>
    <w:rsid w:val="000564AB"/>
    <w:rsid w:val="00073DCB"/>
    <w:rsid w:val="000B00F7"/>
    <w:rsid w:val="00110BA2"/>
    <w:rsid w:val="00111E1D"/>
    <w:rsid w:val="00112166"/>
    <w:rsid w:val="001475A4"/>
    <w:rsid w:val="001C4003"/>
    <w:rsid w:val="001E0DF8"/>
    <w:rsid w:val="001F6501"/>
    <w:rsid w:val="00223E7C"/>
    <w:rsid w:val="00263528"/>
    <w:rsid w:val="002E365C"/>
    <w:rsid w:val="00355DAB"/>
    <w:rsid w:val="00371067"/>
    <w:rsid w:val="003D41C0"/>
    <w:rsid w:val="00441E32"/>
    <w:rsid w:val="004C46A7"/>
    <w:rsid w:val="004D431E"/>
    <w:rsid w:val="004E6E3C"/>
    <w:rsid w:val="00533E89"/>
    <w:rsid w:val="00540FDB"/>
    <w:rsid w:val="00547DB7"/>
    <w:rsid w:val="005C30E0"/>
    <w:rsid w:val="00622BAA"/>
    <w:rsid w:val="006549C2"/>
    <w:rsid w:val="0067153E"/>
    <w:rsid w:val="00671BD5"/>
    <w:rsid w:val="00694556"/>
    <w:rsid w:val="006E1A53"/>
    <w:rsid w:val="006F2446"/>
    <w:rsid w:val="00761B1C"/>
    <w:rsid w:val="00780CA3"/>
    <w:rsid w:val="00820005"/>
    <w:rsid w:val="00841208"/>
    <w:rsid w:val="008704F0"/>
    <w:rsid w:val="00903896"/>
    <w:rsid w:val="00A005E1"/>
    <w:rsid w:val="00AC4641"/>
    <w:rsid w:val="00B46F97"/>
    <w:rsid w:val="00B80CBD"/>
    <w:rsid w:val="00BC5024"/>
    <w:rsid w:val="00BE0BE9"/>
    <w:rsid w:val="00C564E4"/>
    <w:rsid w:val="00D161A6"/>
    <w:rsid w:val="00D2087E"/>
    <w:rsid w:val="00D3013B"/>
    <w:rsid w:val="00D347F5"/>
    <w:rsid w:val="00D53924"/>
    <w:rsid w:val="00D84B6C"/>
    <w:rsid w:val="00E54642"/>
    <w:rsid w:val="00F861D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112166"/>
    <w:pPr>
      <w:ind w:left="720"/>
      <w:contextualSpacing/>
    </w:pPr>
  </w:style>
  <w:style w:type="character" w:styleId="Hyperlink">
    <w:name w:val="Hyperlink"/>
    <w:basedOn w:val="a0"/>
    <w:uiPriority w:val="99"/>
    <w:unhideWhenUsed/>
    <w:rsid w:val="00112166"/>
    <w:rPr>
      <w:color w:val="0000FF" w:themeColor="hyperlink"/>
      <w:u w:val="single"/>
    </w:rPr>
  </w:style>
  <w:style w:type="character" w:customStyle="1" w:styleId="ab">
    <w:name w:val="טקסט בלונים תו"/>
    <w:basedOn w:val="a0"/>
    <w:link w:val="aa"/>
    <w:uiPriority w:val="99"/>
    <w:semiHidden/>
    <w:rsid w:val="00112166"/>
    <w:rPr>
      <w:rFonts w:ascii="Tahoma" w:hAnsi="Tahoma" w:cs="Tahoma"/>
      <w:noProof/>
      <w:sz w:val="16"/>
      <w:szCs w:val="16"/>
    </w:rPr>
  </w:style>
  <w:style w:type="character" w:customStyle="1" w:styleId="a4">
    <w:name w:val="כותרת עליונה תו"/>
    <w:basedOn w:val="a0"/>
    <w:link w:val="a3"/>
    <w:uiPriority w:val="99"/>
    <w:rsid w:val="00112166"/>
    <w:rPr>
      <w:rFonts w:cs="David"/>
      <w:noProof/>
      <w:sz w:val="24"/>
      <w:szCs w:val="24"/>
    </w:rPr>
  </w:style>
  <w:style w:type="character" w:customStyle="1" w:styleId="a6">
    <w:name w:val="כותרת תחתונה תו"/>
    <w:basedOn w:val="a0"/>
    <w:link w:val="a5"/>
    <w:uiPriority w:val="99"/>
    <w:rsid w:val="00112166"/>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245027092</CasePartyID>
        <PartyTypeID>2</PartyTypeID>
        <ActivityStatusID>1</ActivityStatusID>
        <PartyAliasID>23</PartyAliasID>
        <PartyAliasName>בא כוח משיבים</PartyAliasName>
        <LegalEntityID>379600</LegalEntityID>
        <CaseLegalEntityID>121040629</CaseLegalEntityID>
        <AuthenticationTypeID>4</AuthenticationTypeID>
        <AuthenticationTypeName>מ.ר.</AuthenticationTypeName>
        <LegalEntityNumber>14771</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טרקליני אח"מ , מבית מלונות דן ו-קיו.איי.אס - שותפו</FullName>
        <LastName>טרקליני אח"מ , מבית מלונות דן ו-קיו.איי.אס - שותפו</LastName>
        <PartyPropertyName/>
        <AuthenticationTypeAndNumber>חברות 550216105</AuthenticationTypeAndNumber>
        <RepresentatedOrRepresentativesNames>מירב ברוך</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221341480</CasePartyID>
        <PartyTypeID>1</PartyTypeID>
        <ActivityStatusID>1</ActivityStatusID>
        <PartyAliasID>5</PartyAliasID>
        <PartyAliasName>מערער</PartyAliasName>
        <OrdinalNumber>1</OrdinalNumber>
        <LegalEntityID>378002</LegalEntityID>
        <CaseLegalEntityID>113848067</CaseLegalEntityID>
        <AuthenticationTypeID>3</AuthenticationTypeID>
        <AuthenticationTypeName>חברות</AuthenticationTypeName>
        <LegalEntityNumber>550216105</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0 לוד נמל התעופה </FullAddress>
        <MotionID>0</MotionID>
        <CasePleaID>0</CasePleaID>
        <LinkedCaseID>0</LinkedCaseID>
        <PartyID>1</PartyID>
        <CasePartyCategoryID>2</CasePartyCategoryID>
        <LegalEntityAddressID>75534448</LegalEntityAddressID>
        <PleaTypeID>6</PleaTypeID>
        <GroupPartyAlias>מערערים</GroupPartyAlias>
        <IsConverted>false</IsConverted>
        <LegalEntityRegisteredNameID>1826329</LegalEntityRegisteredNameID>
        <RepresentatedNamesOfAssistant/>
        <LegalEntityTypeID>3</LegalEntityTypeID>
        <IsVerdictExists>false</IsVerdictExists>
        <IsAsirAzir>false</IsAsirAzir>
        <IsPublicationProhibited>false</IsPublicationProhibited>
        <PublicationProhibitedFullName>טרקליני אח"מ , מבית מלונות דן ו-קיו.איי.אס - שותפו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מירב ברוך</FullName>
        <FirstName>מירב</FirstName>
        <LastName>ברוך</LastName>
        <PartyPropertyName/>
        <AuthenticationTypeAndNumber>מ.ר. 27445</AuthenticationTypeAndNumber>
        <RepresentatedOrRepresentativesNames xml:space="preserve"> </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221341481</CasePartyID>
        <PartyTypeID>2</PartyTypeID>
        <ActivityStatusID>1</ActivityStatusID>
        <PartyAliasID>24</PartyAliasID>
        <PartyAliasName>בא כוח מערערים</PartyAliasName>
        <OrdinalNumber>1</OrdinalNumber>
        <LegalEntityID>388170</LegalEntityID>
        <CaseLegalEntityID>113848068</CaseLegalEntityID>
        <AuthenticationTypeID>4</AuthenticationTypeID>
        <AuthenticationTypeName>מ.ר.</AuthenticationTypeName>
        <LegalEntityNumber>27445</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6</PleaTypeID>
        <LawyerOfficeName>משרד עו"ד: גולדפרב,זליגמן ושות'</LawyerOfficeName>
        <LawyerOfficeID>440797</LawyerOfficeID>
        <GroupPartyAlias/>
        <IsConverted>false</IsConverted>
        <LegalEntityNameID>9154</LegalEntityNameID>
        <RepresentatedNamesOfAssistant/>
        <LegalEntityTypeID>4</LegalEntityTypeID>
        <IsVerdictExists>false</IsVerdictExists>
        <IsAsirAzir>false</IsAsirAzir>
        <IsPublicationProhibited>false</IsPublicationProhibited>
        <PublicationProhibitedFullName>מירב ברוך</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ליאב וינבאום</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221341482</CasePartyID>
        <PartyTypeID>1</PartyTypeID>
        <ActivityStatusID>1</ActivityStatusID>
        <PartyAliasID>4</PartyAliasID>
        <PartyAliasName>משיב</PartyAliasName>
        <OrdinalNumber>1</OrdinalNumber>
        <LegalEntityID>6485</LegalEntityID>
        <CaseLegalEntityID>113848069</CaseLegalEntityID>
        <AuthenticationTypeID>13</AuthenticationTypeID>
        <AuthenticationTypeName>משרדי ממשלה</AuthenticationTypeName>
        <LegalEntityNumber>500106158</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IsPublicationProhibited>false</IsPublicationProhibited>
        <PublicationProhibitedFullName>רשות המיסים</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2023-10-09T12:18:55.1981715+03:00</DecisionSignatureDate>
    <OpenCaseDate>2021-01-11T10:40:00+02:00</OpenCaseDate>
    <CaseFeeSum>0.000</CaseFeeSum>
    <DecisionTypeID>2</DecisionTypeID>
    <DecisionSignatureUserName>ירדנה סרוסי</DecisionSignatureUserName>
    <DecisionSignatureDateHebrew>2023-10-09T12:18:55.1981715+03:00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טרקליני אח"מ , מבית מלונות דן ו-קיו.איי.אס - שותפו נ' רשות המיסים</CaseName>
    <DecisionNumberInCase>14</DecisionNumberInCase>
  </dt_Decision>
  <dt_DecisionCase>
    <DecisionID>0</DecisionID>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245027092</CasePartyID>
        <PartyTypeID>2</PartyTypeID>
        <ActivityStatusID>1</ActivityStatusID>
        <PartyAliasID>23</PartyAliasID>
        <PartyAliasName>בא כוח משיבים</PartyAliasName>
        <LegalEntityID>379600</LegalEntityID>
        <CaseLegalEntityID>121040629</CaseLegalEntityID>
        <AuthenticationTypeID>4</AuthenticationTypeID>
        <AuthenticationTypeName>מ.ר.</AuthenticationTypeName>
        <LegalEntityNumber>14771</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טרקליני אח"מ , מבית מלונות דן ו-קיו.איי.אס - שותפו</FullName>
        <LastName>טרקליני אח"מ , מבית מלונות דן ו-קיו.איי.אס - שותפו</LastName>
        <PartyPropertyName/>
        <AuthenticationTypeAndNumber>חברות 550216105</AuthenticationTypeAndNumber>
        <RepresentatedOrRepresentativesNames>מירב ברוך</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221341480</CasePartyID>
        <PartyTypeID>1</PartyTypeID>
        <ActivityStatusID>1</ActivityStatusID>
        <PartyAliasID>5</PartyAliasID>
        <PartyAliasName>מערער</PartyAliasName>
        <OrdinalNumber>1</OrdinalNumber>
        <LegalEntityID>378002</LegalEntityID>
        <CaseLegalEntityID>113848067</CaseLegalEntityID>
        <AuthenticationTypeID>3</AuthenticationTypeID>
        <AuthenticationTypeName>חברות</AuthenticationTypeName>
        <LegalEntityNumber>550216105</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0 לוד נמל התעופה </FullAddress>
        <MotionID>0</MotionID>
        <CasePleaID>0</CasePleaID>
        <LinkedCaseID>0</LinkedCaseID>
        <PartyID>1</PartyID>
        <CasePartyCategoryID>2</CasePartyCategoryID>
        <LegalEntityAddressID>75534448</LegalEntityAddressID>
        <PleaTypeID>6</PleaTypeID>
        <GroupPartyAlias>מערערים</GroupPartyAlias>
        <IsConverted>false</IsConverted>
        <LegalEntityRegisteredNameID>1826329</LegalEntityRegisteredNameID>
        <RepresentatedNamesOfAssistant/>
        <LegalEntityTypeID>3</LegalEntityTypeID>
        <IsVerdictExists>false</IsVerdictExists>
        <IsAsirAzir>false</IsAsirAzir>
        <IsPublicationProhibited>false</IsPublicationProhibited>
        <PublicationProhibitedFullName>טרקליני אח"מ , מבית מלונות דן ו-קיו.איי.אס - שותפו</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מירב ברוך</FullName>
        <FirstName>מירב</FirstName>
        <LastName>ברוך</LastName>
        <PartyPropertyName/>
        <AuthenticationTypeAndNumber>מ.ר. 27445</AuthenticationTypeAndNumber>
        <RepresentatedOrRepresentativesNames xml:space="preserve"> </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221341481</CasePartyID>
        <PartyTypeID>2</PartyTypeID>
        <ActivityStatusID>1</ActivityStatusID>
        <PartyAliasID>24</PartyAliasID>
        <PartyAliasName>בא כוח מערערים</PartyAliasName>
        <OrdinalNumber>1</OrdinalNumber>
        <LegalEntityID>388170</LegalEntityID>
        <CaseLegalEntityID>113848068</CaseLegalEntityID>
        <AuthenticationTypeID>4</AuthenticationTypeID>
        <AuthenticationTypeName>מ.ר.</AuthenticationTypeName>
        <LegalEntityNumber>27445</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יגאל אלון 98 תל אביב -יפו </FullAddress>
        <EmailAddress>meggy.hason@goldfarb.com</EmailAddress>
        <MotionID>0</MotionID>
        <CasePleaID>0</CasePleaID>
        <LinkedCaseID>0</LinkedCaseID>
        <PartyID>1</PartyID>
        <CasePartyCategoryID>2</CasePartyCategoryID>
        <LegalEntityAddressID>72096983</LegalEntityAddressID>
        <LegalEntityEmailAddressID>68045487</LegalEntityEmailAddressID>
        <PleaTypeID>6</PleaTypeID>
        <LawyerOfficeName>משרד עו"ד: גולדפרב,זליגמן ושות'</LawyerOfficeName>
        <LawyerOfficeID>440797</LawyerOfficeID>
        <GroupPartyAlias/>
        <IsConverted>false</IsConverted>
        <LegalEntityNameID>9154</LegalEntityNameID>
        <RepresentatedNamesOfAssistant/>
        <LegalEntityTypeID>4</LegalEntityTypeID>
        <IsVerdictExists>false</IsVerdictExists>
        <IsAsirAzir>false</IsAsirAzir>
        <IsPublicationProhibited>false</IsPublicationProhibited>
        <PublicationProhibitedFullName>מירב ברוך</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ליאב וינבאום</RepresentatedOrRepresentativesNames>
        <RepresentatedOrRepresentativesCount>1</RepresentatedOrRepresentativesCount>
        <InvitedBy/>
        <CaseID>78027148</CaseID>
        <CaseJudicialPersonPresentationDS>
          <CaseJudicalPersonActive>
            <CaseID>78027148</CaseID>
            <JudicialPersonID>059168047@GOV.IL</JudicialPersonID>
            <JudicialPersonTypeID>1</JudicialPersonTypeID>
            <JudicialTypeID>1</JudicialTypeID>
            <IsChairman>false</IsChairman>
            <TreatmentStartDate>2021-01-11T13:43:06.29+02:00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221341482</CasePartyID>
        <PartyTypeID>1</PartyTypeID>
        <ActivityStatusID>1</ActivityStatusID>
        <PartyAliasID>4</PartyAliasID>
        <PartyAliasName>משיב</PartyAliasName>
        <OrdinalNumber>1</OrdinalNumber>
        <LegalEntityID>6485</LegalEntityID>
        <CaseLegalEntityID>113848069</CaseLegalEntityID>
        <AuthenticationTypeID>13</AuthenticationTypeID>
        <AuthenticationTypeName>משרדי ממשלה</AuthenticationTypeName>
        <LegalEntityNumber>500106158</LegalEntityNumber>
        <IsMainPartyType>true</IsMainPartyType>
        <CaseDisplayIdentifier>18729-01-21</CaseDisplayIdentifier>
        <CaseTypeID>10113</CaseTypeID>
        <CaseTypeName>ערעור מסים (ע"מ)</CaseTypeName>
        <CaseName>טרקליני אח"מ , מבית מלונות דן ו-קיו.איי.אס - שותפו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IsPublicationProhibited>false</IsPublicationProhibited>
        <PublicationProhibitedFullName>רשות המיסים</PublicationProhibitedFullName>
      </CaseParties>
    </CasePartiesSelectionDS>
    <CaseName>טרקליני אח"מ , מבית מלונות דן ו-קיו.איי.אס - שותפו נ' רשות המיסים</CaseName>
    <CaseDisplayIdentifier>18729-01-21</CaseDisplayIdentifier>
    <CaseInterestID>66</CaseInterestID>
    <CaseTypeShortName>ע"מ</CaseTypeShortName>
  </dt_DecisionCase>
  <dt_DecisionJudgePanel>
    <JudgeID>059168047@GOV.IL</JudgeID>
    <DisplayName>ירדנה סרוסי</DisplayName>
    <RoleName>שופט</RoleName>
    <UserTitleName>שופטת</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 0</StreetName>
    <ZipCode>70100</ZipCode>
    <CityName>לוד נמל התעופה</CityName>
    <FullName> טרקליני אח"מ , מבית מלונות דן ו-קיו.איי.אס - שותפו</FullName>
    <IsPublicationProhibited>false</IsPublicationProhibited>
  </dt_LegalEntityDetails>
  <dt_LegalEntityDetails>
    <Fax>03-6089911</Fax>
    <Phone>03-6089803</Phone>
    <PartyID>1</PartyID>
    <PartyTypeID>2</PartyTypeID>
    <DecisionID>0</DecisionID>
    <StreetName>יגאל אלון 98</StreetName>
    <ZipCode>67891</ZipCode>
    <CityName>תל אביב -יפו</CityName>
    <FullName>מירב ברוך</FullName>
    <Email>meggy.hason@goldfarb.com</Email>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IsPublicationProhibited>false</IsPublicationProhibited>
  </dt_LegalEntityDetails>
  <dt_CaseJudicalPersonActive>
    <CaseJudicalPerson>שופטת ירדנה סרוסי</CaseJudicalPerson>
  </dt_CaseJudicalPersonActive>
  <dt_Sitting>
    <PreviousMeetingDate>2023-02-22T11:30:00+02:00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C40D0197-0D8D-464C-A278-A0E57B300ED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5262</Words>
  <Characters>26314</Characters>
  <Application>Microsoft Office Word</Application>
  <DocSecurity>0</DocSecurity>
  <Lines>219</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2023-10-29T07:29:00Z</dcterms:created>
  <dcterms:modified xsi:type="dcterms:W3CDTF">2023-10-29T07:29:00Z</dcterms:modified>
</cp:coreProperties>
</file>